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上海机场中航佳美航空食品有限公司</w:t>
      </w:r>
    </w:p>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虹桥厂区新能源配餐车车用充电桩</w:t>
      </w:r>
    </w:p>
    <w:p>
      <w:pPr>
        <w:jc w:val="center"/>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方正小标宋简体" w:eastAsia="方正小标宋简体" w:cs="仿宋_GB2312"/>
          <w:kern w:val="0"/>
          <w:sz w:val="44"/>
          <w:szCs w:val="44"/>
          <w:lang w:val="en-US" w:eastAsia="zh-CN"/>
        </w:rPr>
        <w:t>采购项目采购需求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9"/>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spacing w:line="336" w:lineRule="auto"/>
        <w:ind w:firstLine="640" w:firstLineChars="200"/>
        <w:rPr>
          <w:rFonts w:hint="eastAsia" w:ascii="仿宋_GB2312" w:hAnsi="仿宋_GB2312" w:eastAsia="仿宋_GB2312" w:cs="仿宋_GB2312"/>
          <w:bCs/>
          <w:color w:val="auto"/>
          <w:kern w:val="0"/>
          <w:sz w:val="32"/>
          <w:szCs w:val="32"/>
          <w:lang w:val="en-US" w:eastAsia="zh-CN"/>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为满足</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新能源配餐车</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的充电需求，虹桥厂</w:t>
      </w:r>
      <w:r>
        <w:rPr>
          <w:rFonts w:hint="eastAsia" w:ascii="仿宋_GB2312" w:hAnsi="微软雅黑" w:eastAsia="仿宋_GB2312" w:cs="微软雅黑"/>
          <w:color w:val="auto"/>
          <w:kern w:val="0"/>
          <w:sz w:val="32"/>
          <w:szCs w:val="32"/>
          <w:lang w:val="en-US" w:eastAsia="zh-CN"/>
        </w:rPr>
        <w:t>区采购</w:t>
      </w:r>
      <w:r>
        <w:rPr>
          <w:rFonts w:hint="eastAsia" w:ascii="仿宋_GB2312" w:hAnsi="仿宋_GB2312" w:eastAsia="仿宋_GB2312" w:cs="仿宋_GB2312"/>
          <w:bCs/>
          <w:color w:val="auto"/>
          <w:kern w:val="0"/>
          <w:sz w:val="32"/>
          <w:szCs w:val="32"/>
          <w:lang w:val="en-US" w:eastAsia="zh-CN"/>
        </w:rPr>
        <w:t>新能源配餐车充电装置共2台直流充电桩（1台240KW、1台120KW），除设备的采购还需包含供电线路、低压配电柜、电桩等电力施工。</w:t>
      </w:r>
    </w:p>
    <w:p>
      <w:pPr>
        <w:spacing w:line="336" w:lineRule="auto"/>
        <w:ind w:firstLine="640" w:firstLineChars="200"/>
        <w:rPr>
          <w:rFonts w:ascii="仿宋_GB2312" w:hAnsi="微软雅黑" w:eastAsia="仿宋_GB2312" w:cs="微软雅黑"/>
          <w:color w:val="auto"/>
          <w:kern w:val="0"/>
          <w:sz w:val="32"/>
          <w:szCs w:val="32"/>
        </w:rPr>
      </w:pPr>
      <w:r>
        <w:rPr>
          <w:rFonts w:hint="eastAsia" w:ascii="仿宋_GB2312" w:hAnsi="微软雅黑" w:eastAsia="仿宋_GB2312" w:cs="微软雅黑"/>
          <w:color w:val="auto"/>
          <w:kern w:val="0"/>
          <w:sz w:val="32"/>
          <w:szCs w:val="32"/>
        </w:rPr>
        <w:t>2.项目</w:t>
      </w:r>
      <w:r>
        <w:rPr>
          <w:rFonts w:hint="eastAsia" w:ascii="仿宋_GB2312" w:hAnsi="微软雅黑" w:eastAsia="仿宋_GB2312" w:cs="微软雅黑"/>
          <w:color w:val="auto"/>
          <w:kern w:val="0"/>
          <w:sz w:val="32"/>
          <w:szCs w:val="32"/>
          <w:lang w:val="en-US" w:eastAsia="zh-CN"/>
        </w:rPr>
        <w:t>名称</w:t>
      </w:r>
      <w:r>
        <w:rPr>
          <w:rFonts w:hint="eastAsia" w:ascii="仿宋_GB2312" w:hAnsi="微软雅黑" w:eastAsia="仿宋_GB2312" w:cs="微软雅黑"/>
          <w:color w:val="auto"/>
          <w:kern w:val="0"/>
          <w:sz w:val="32"/>
          <w:szCs w:val="32"/>
        </w:rPr>
        <w:t>：上海机场中航佳美航空食品有限公司虹桥</w:t>
      </w:r>
      <w:r>
        <w:rPr>
          <w:rFonts w:hint="eastAsia" w:ascii="仿宋_GB2312" w:hAnsi="微软雅黑" w:eastAsia="仿宋_GB2312" w:cs="微软雅黑"/>
          <w:color w:val="auto"/>
          <w:kern w:val="0"/>
          <w:sz w:val="32"/>
          <w:szCs w:val="32"/>
          <w:lang w:val="en-US" w:eastAsia="zh-CN"/>
        </w:rPr>
        <w:t>厂区</w:t>
      </w:r>
      <w:r>
        <w:rPr>
          <w:rFonts w:hint="eastAsia" w:ascii="仿宋_GB2312" w:hAnsi="微软雅黑" w:eastAsia="仿宋_GB2312" w:cs="微软雅黑"/>
          <w:color w:val="auto"/>
          <w:kern w:val="0"/>
          <w:sz w:val="32"/>
          <w:szCs w:val="32"/>
        </w:rPr>
        <w:t>新能源配餐车车用充电桩采购项目</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一次性采购项目（质保期2年）</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4</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30-60个自然日。</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预付合同总价的30%，设备安装和电力施工完成后初步验收完成，在收到增值税专用发票后一个月内支付合同总价的30%。试用期三个月并最终验收合格在收到增值税专用发票后一个月内支付合同总价的35%，待质保期到期后支付剩余的5%。</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注：浦东和虹桥航食服务发票要分开开具、结算。</w:t>
      </w:r>
    </w:p>
    <w:p>
      <w:pPr>
        <w:numPr>
          <w:ilvl w:val="0"/>
          <w:numId w:val="0"/>
        </w:num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6.设备和电力施工质保期在最终验收后24个月。</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7</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（虹桥厂区）上海闵行区</w:t>
      </w:r>
      <w:r>
        <w:rPr>
          <w:rFonts w:hint="eastAsia" w:ascii="仿宋_GB2312" w:hAnsi="微软雅黑" w:eastAsia="仿宋_GB2312" w:cs="微软雅黑"/>
          <w:color w:val="000000" w:themeColor="text1"/>
          <w:kern w:val="0"/>
          <w:sz w:val="32"/>
          <w:szCs w:val="32"/>
          <w14:textFill>
            <w14:solidFill>
              <w14:schemeClr w14:val="tx1"/>
            </w14:solidFill>
          </w14:textFill>
        </w:rPr>
        <w:t>申达五路106号</w:t>
      </w:r>
    </w:p>
    <w:p>
      <w:pPr>
        <w:numPr>
          <w:ilvl w:val="0"/>
          <w:numId w:val="0"/>
        </w:numPr>
        <w:spacing w:beforeLines="0" w:afterLines="0" w:line="360" w:lineRule="auto"/>
        <w:ind w:firstLine="640" w:firstLineChars="200"/>
        <w:jc w:val="left"/>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8.充电装置执行标准：</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18487.1-2015 电动汽车传导充电系统第1 部分：通用要求</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GB/T 20234.2-2015 电动汽车传导充电用连接装置第1 部分：通用</w:t>
      </w:r>
      <w:r>
        <w:rPr>
          <w:rFonts w:hint="eastAsia" w:ascii="仿宋_GB2312" w:hAnsi="仿宋_GB2312" w:eastAsia="仿宋_GB2312" w:cs="仿宋_GB2312"/>
          <w:sz w:val="32"/>
          <w:szCs w:val="32"/>
          <w:lang w:val="en-US" w:eastAsia="zh-CN"/>
        </w:rPr>
        <w:t>要求；</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NB/T33008.1-2013 电动汽车充电设备检验试验规范第1 部分：非车载充电机</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27930-2015 电动汽车传导充电用连接装置第3 部分：直流充电接口</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19596-2004 电动汽车非车载传导式充电机与电池管理系统之间的通信协议</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17618 电动汽车术语</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9254-2008 信息技术设备抗扰度限值和测量方法</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4208-2008 信息技术设备的无线电骚扰限值和测量方法</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DL/T 645-2007 外壳防护等级（IP 代码）</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GB9286-1998 多功能电能表通信协议</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GB6587.4-1986 色漆和清漆漆膜的划格试验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 6587.5-1986 电子测量仪器振动试验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13384-2008 电子测量仪器冲击试验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17626.2-2006 机电产品包装通用技术条件</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17626.3-2006 电磁兼容试验和测量技术静电放电抗扰度试验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17626.4-2008 电磁兼容试验和测量技术射频电磁场辐射抗扰度试验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17626.5-2008 电磁兼容试验和测量技术电快速瞬变脉冲群抗扰度试验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17626.6-2008 电磁兼容试验和测量技术浪涌（冲击）抗扰度</w:t>
      </w:r>
      <w:r>
        <w:rPr>
          <w:rFonts w:hint="eastAsia" w:ascii="仿宋_GB2312" w:hAnsi="仿宋_GB2312" w:eastAsia="仿宋_GB2312" w:cs="仿宋_GB2312"/>
          <w:sz w:val="32"/>
          <w:szCs w:val="32"/>
          <w:lang w:val="en-US" w:eastAsia="zh-CN"/>
        </w:rPr>
        <w:t>试验</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GB/T 20234.2-2015 电磁兼容试验和测量技术射频场感应的传导骚扰抗扰度</w:t>
      </w:r>
      <w:r>
        <w:rPr>
          <w:rFonts w:hint="eastAsia" w:ascii="仿宋_GB2312" w:hAnsi="仿宋_GB2312" w:eastAsia="仿宋_GB2312" w:cs="仿宋_GB2312"/>
          <w:sz w:val="32"/>
          <w:szCs w:val="32"/>
          <w:lang w:eastAsia="zh-CN"/>
        </w:rPr>
        <w:t>。</w:t>
      </w:r>
    </w:p>
    <w:p>
      <w:pPr>
        <w:numPr>
          <w:ilvl w:val="0"/>
          <w:numId w:val="0"/>
        </w:numPr>
        <w:spacing w:beforeLines="0" w:afterLines="0" w:line="360" w:lineRule="auto"/>
        <w:ind w:firstLine="640" w:firstLineChars="200"/>
        <w:jc w:val="left"/>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9.电力施工</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执行标准：</w:t>
      </w:r>
    </w:p>
    <w:p>
      <w:pPr>
        <w:numPr>
          <w:ilvl w:val="0"/>
          <w:numId w:val="0"/>
        </w:numPr>
        <w:spacing w:beforeLines="0" w:afterLines="0"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rPr>
        <w:t>《中华人民共和国国家标准:电气装置安装工程施工及验收规范(GB50254-96、GB50255-96、GB50256-96、GB50257-96)》</w:t>
      </w:r>
    </w:p>
    <w:p>
      <w:pPr>
        <w:pStyle w:val="9"/>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9"/>
        <w:numPr>
          <w:ilvl w:val="0"/>
          <w:numId w:val="0"/>
        </w:numPr>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本项目已取得的中翼航空投资有限公司对上海航食《关于2024年采购计划变更的请示》的批复。</w:t>
      </w:r>
    </w:p>
    <w:p>
      <w:pPr>
        <w:ind w:firstLine="640" w:firstLineChars="200"/>
        <w:rPr>
          <w:rFonts w:hint="eastAsia"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tbl>
      <w:tblPr>
        <w:tblStyle w:val="6"/>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3216"/>
        <w:gridCol w:w="1421"/>
        <w:gridCol w:w="1180"/>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规格型号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标准或图号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计量单位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快充充电桩</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120kW、双枪、直流、一体式</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国标</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快充充电桩</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240kW、双枪、直流一体式</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国标</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r>
    </w:tbl>
    <w:p>
      <w:pPr>
        <w:pStyle w:val="9"/>
        <w:numPr>
          <w:ilvl w:val="0"/>
          <w:numId w:val="0"/>
        </w:numP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240KW一体式直流</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充电桩技术参数</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78"/>
        <w:gridCol w:w="2778"/>
        <w:gridCol w:w="2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i w:val="0"/>
                <w:color w:val="000000"/>
                <w:sz w:val="24"/>
                <w:szCs w:val="24"/>
                <w:u w:val="none"/>
                <w:lang w:val="en-US"/>
              </w:rPr>
            </w:pPr>
            <w:r>
              <w:rPr>
                <w:rFonts w:hint="eastAsia" w:ascii="仿宋_GB2312" w:hAnsi="仿宋_GB2312" w:eastAsia="仿宋_GB2312" w:cs="仿宋_GB2312"/>
                <w:b/>
                <w:bCs/>
                <w:i w:val="0"/>
                <w:color w:val="000000"/>
                <w:kern w:val="0"/>
                <w:sz w:val="24"/>
                <w:szCs w:val="24"/>
                <w:u w:val="none"/>
                <w:lang w:val="en-US" w:eastAsia="zh-CN" w:bidi="ar"/>
              </w:rPr>
              <w:t>技术指标</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参数</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环境条件</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环境温度：-20℃～65℃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海拔高度：≤2000m</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电源条件</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输入电压：AC380V±15％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输入频率：45-65Hz</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额定功率和输出电流、电压范围</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额定输出功率：240kW</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输出电压范围：DC 200V～1000V，可根据BMS自动调压</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输出电流范围：0 ~ 250A</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充电模块</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单模块功率：30kW</w:t>
            </w:r>
          </w:p>
        </w:tc>
        <w:tc>
          <w:tcPr>
            <w:tcW w:w="16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投标人或投标产品厂商须提供相关内容的具有CMA、CNAS认证标识的第三方检测报告复印件，并加盖公章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功率投切方式：全矩阵（任意枪可调用系统任意模块）</w:t>
            </w:r>
          </w:p>
        </w:tc>
        <w:tc>
          <w:tcPr>
            <w:tcW w:w="16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充电模块应具备防逆流功能</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充电终端</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每个终端需具备≥7寸LCD触摸屏</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身份确认：二维码认证、充电APP、刷卡</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1台整流柜支持同时多枪输出</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充电终端可配置为双枪亦可搭配液冷超充终端</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风冷充电终端枪线长度≥5米</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采用下出线</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720" w:firstLineChars="30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输入功率因数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≥0.99</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辅助电源电压</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12/10A</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峰值效率</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≥96%</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稳压精度</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≤±0.5%</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稳流精度</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输出电压波纹</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谐波电流限制THD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≤5%，50%-100%负载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通信接口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4G/以太网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≤65dB</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基本保护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充电枪温度检测、过压/欠压保护、过载保护、短路保护、过温保护、防雷保护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pPr>
              <w:rPr>
                <w:rFonts w:hint="eastAsia" w:ascii="仿宋_GB2312" w:hAnsi="仿宋_GB2312" w:eastAsia="仿宋_GB2312" w:cs="仿宋_GB2312"/>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2"/>
          <w:sz w:val="32"/>
          <w:szCs w:val="32"/>
          <w:lang w:val="en-US" w:eastAsia="zh-CN" w:bidi="ar-SA"/>
        </w:rPr>
        <w:t>系统通讯结构，</w:t>
      </w:r>
      <w:r>
        <w:rPr>
          <w:rFonts w:hint="eastAsia" w:ascii="仿宋_GB2312" w:hAnsi="仿宋_GB2312" w:eastAsia="仿宋_GB2312" w:cs="仿宋_GB2312"/>
          <w:b w:val="0"/>
          <w:bCs w:val="0"/>
          <w:color w:val="auto"/>
          <w:sz w:val="32"/>
          <w:szCs w:val="32"/>
        </w:rPr>
        <w:t>双枪终端内需要配置2块控制板，1</w:t>
      </w:r>
      <w:r>
        <w:rPr>
          <w:rFonts w:hint="eastAsia" w:ascii="仿宋_GB2312" w:hAnsi="仿宋_GB2312" w:eastAsia="仿宋_GB2312" w:cs="仿宋_GB2312"/>
          <w:b w:val="0"/>
          <w:bCs w:val="0"/>
          <w:color w:val="auto"/>
          <w:sz w:val="32"/>
          <w:szCs w:val="32"/>
          <w:highlight w:val="none"/>
        </w:rPr>
        <w:t>块控制板对应1条充电枪，分2路通道分别和车辆的BMS通讯；</w:t>
      </w:r>
      <w:r>
        <w:rPr>
          <w:rFonts w:hint="eastAsia" w:ascii="仿宋_GB2312" w:hAnsi="仿宋_GB2312" w:eastAsia="仿宋_GB2312" w:cs="仿宋_GB2312"/>
          <w:b w:val="0"/>
          <w:bCs w:val="0"/>
          <w:color w:val="auto"/>
          <w:sz w:val="32"/>
          <w:szCs w:val="32"/>
          <w:highlight w:val="none"/>
          <w:lang w:val="en-US" w:eastAsia="zh-CN"/>
        </w:rPr>
        <w:t>充电桩设备需配置充电管理平台，通过网络能远程查询充电桩使用记录、充电耗能等情况，方便公司车辆的充电管理，优先考虑免费平台。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宋体" w:cs="Times New Roman"/>
          <w:color w:val="000000"/>
          <w:lang w:val="en-US" w:eastAsia="zh-CN"/>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sz w:val="32"/>
          <w:szCs w:val="32"/>
          <w:lang w:val="en-US" w:eastAsia="zh-CN"/>
        </w:rPr>
        <w:t>设备核心元器件品牌需为如下品牌之一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元器件名称</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品牌名称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充电模块</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盛弘/英飞源/科华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断路器</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施耐德/良信/正泰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充电枪</w:t>
            </w:r>
          </w:p>
        </w:tc>
        <w:tc>
          <w:tcPr>
            <w:tcW w:w="4261" w:type="dxa"/>
            <w:noWrap w:val="0"/>
            <w:vAlign w:val="top"/>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沃尔/知崇/一航</w:t>
            </w:r>
          </w:p>
        </w:tc>
      </w:tr>
    </w:tbl>
    <w:p>
      <w:pPr>
        <w:keepNext/>
        <w:keepLines/>
        <w:widowControl w:val="0"/>
        <w:numPr>
          <w:ilvl w:val="0"/>
          <w:numId w:val="0"/>
        </w:numPr>
        <w:tabs>
          <w:tab w:val="left" w:pos="420"/>
        </w:tabs>
        <w:bidi w:val="0"/>
        <w:spacing w:beforeLines="0" w:beforeAutospacing="0" w:afterLines="0" w:afterAutospacing="0" w:line="360" w:lineRule="auto"/>
        <w:ind w:firstLine="640" w:firstLineChars="200"/>
        <w:jc w:val="both"/>
        <w:outlineLvl w:val="1"/>
        <w:rPr>
          <w:rFonts w:hint="eastAsia" w:ascii="Calibri" w:hAnsi="Calibri" w:eastAsia="宋体" w:cs="Times New Roman"/>
          <w:b/>
          <w:color w:val="000000"/>
          <w:kern w:val="2"/>
          <w:sz w:val="24"/>
          <w:szCs w:val="24"/>
          <w:lang w:val="en-US" w:eastAsia="zh-CN" w:bidi="ar-SA"/>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w:t>
      </w:r>
      <w:bookmarkStart w:id="0" w:name="_Toc4270"/>
      <w:r>
        <w:rPr>
          <w:rFonts w:hint="eastAsia" w:ascii="楷体_GB2312" w:hAnsi="楷体_GB2312" w:eastAsia="楷体_GB2312" w:cs="楷体_GB2312"/>
          <w:b w:val="0"/>
          <w:bCs/>
          <w:color w:val="000000"/>
          <w:kern w:val="2"/>
          <w:sz w:val="32"/>
          <w:szCs w:val="32"/>
          <w:lang w:val="en-US" w:eastAsia="zh-CN" w:bidi="ar-SA"/>
        </w:rPr>
        <w:t>120KW一体式直流充电桩技术要求</w:t>
      </w:r>
      <w:bookmarkEnd w:id="0"/>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1"/>
        <w:gridCol w:w="4571"/>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技术指标</w:t>
            </w: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参数</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环境条件</w:t>
            </w: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环境温度：-20℃～50℃</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海拔高度：≤2000m</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环境湿度：＜90%无凝霜</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输入条件</w:t>
            </w: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输入电压：AC380V±15％</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输入频率：45-65Hz</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额定输入电流（A）：最大190A</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额定功率、输出电压范围、最大输出电流</w:t>
            </w: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额定输出功率：120kW</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输出电压范围：DC 200～1000V</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最大输出电流（A）：单枪250A</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外观结构</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显示屏：采用电容屏，为7寸LCD显示触摸屏，提高用户于显示屏操作的便捷性，充电时显示：SOC、已充时间、充满需要时间；在出现故障时显示相应的提示信息。</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投标人或投标产品厂商须提供相关内容的具有CMA、CNAS认证标识的第三方检测报告复印件，并加盖公章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充电枪数量及枪线长度：充电枪×2，枪线长5m</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计量精度</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1级</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投标人或投标产品厂商须提供相关内容的具有CNAS认证标识的第三方计量检测报告复印件，并加盖公章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功率因数</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≥98%（50%负载以上）</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稳压精度</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稳流精度</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绝缘电阻</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≥10MΩ</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40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其余要求</w:t>
            </w:r>
          </w:p>
        </w:tc>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设备具备输入过压保护、输入欠压保护、输出过压保护、输出短路保护、过温保护、过载保护和短路保护等安全保护措施。</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防撞等级：IK08</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0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c>
          <w:tcPr>
            <w:tcW w:w="4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联网方式：以太网、4G</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p>
        </w:tc>
      </w:tr>
    </w:tbl>
    <w:p>
      <w:pPr>
        <w:numPr>
          <w:ilvl w:val="0"/>
          <w:numId w:val="1"/>
        </w:num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电力布线安装（报名供应商集中现场勘查，出具施工方案，方案应包括但不限于：线路走向、电缆数量、铺设方式、配电</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柜数量等。以下需求数据仅用于参考，最终需求数据以供应商现场测量，双方认可为准）。</w:t>
      </w:r>
    </w:p>
    <w:tbl>
      <w:tblPr>
        <w:tblStyle w:val="6"/>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6"/>
        <w:gridCol w:w="1233"/>
        <w:gridCol w:w="3450"/>
        <w:gridCol w:w="1084"/>
        <w:gridCol w:w="100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规格型号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计量单位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铜芯电缆</w:t>
            </w:r>
          </w:p>
        </w:tc>
        <w:tc>
          <w:tcPr>
            <w:tcW w:w="34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ZCYJV4*120+1*70电缆线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172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ZCYJV4*120+1*70电缆线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320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电缆铺设</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ZCYJV4*120+1*70电缆线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492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充电桩安装基础</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长1.0m*宽0.7m高0.2m，2个</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充电桩和配电柜安装</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（接地制作）</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两台充电桩及充电桩配电柜（24位）安装（长600*高1800*深400mm）</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充电桩垂直接地极制作</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充电桩接地扁钢安装</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电缆接头制作</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5芯50-120mm2内电缆头（热缩）制作</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60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穿墙打孔（直径100）</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低压配电系统设备安装</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含：电表安装、互感器安装、塑壳断路器配备及安装</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断路器</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rPr>
              <w:t>（630A+400A）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高配间抽屉柜改造</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含抽屉单元二合一、柜内开关、母排、动触头、操动机构、仪表指示灯及元器件等</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630A+400A</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rPr>
              <w:t>（多功能表带智能计量）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桥架及辅材</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不锈钢制桥架200*100*1.5mm（线槽弯通、通丝吊杆、M10顶爆套件、M10螺母M10不锈钢螺母）</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桥架安装</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200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123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路面硬化</w:t>
            </w: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做混凝土路面（硬化）（含绿化清理及开挖土方，基土层夯实后铺设石灰土层，厚度10cm稳定夯实，达到一定硬度后，铺设C30混凝土，厚度15cm,螺纹钢筋直径8mm,方格20*20cm）</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70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平方米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123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rPr>
              <w:t>更换污水井金属雨水盖</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u w:val="none"/>
                <w:lang w:val="en-US" w:eastAsia="zh-CN"/>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rPr>
              <w:t>尺寸见现场污水井，确保能配套使用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w:t>
            </w:r>
          </w:p>
        </w:tc>
        <w:tc>
          <w:tcPr>
            <w:tcW w:w="123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排水管（不锈钢,国标，DN75）</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20</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米</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w:t>
            </w:r>
          </w:p>
        </w:tc>
        <w:tc>
          <w:tcPr>
            <w:tcW w:w="123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rPr>
              <w:t>排水井</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2</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配套DN75排水管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w:t>
            </w:r>
          </w:p>
        </w:tc>
        <w:tc>
          <w:tcPr>
            <w:tcW w:w="468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其他辅材</w:t>
            </w:r>
          </w:p>
        </w:tc>
        <w:tc>
          <w:tcPr>
            <w:tcW w:w="10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项</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_GB2312" w:hAnsi="仿宋_GB2312" w:eastAsia="仿宋_GB2312" w:cs="仿宋_GB2312"/>
                <w:i w:val="0"/>
                <w:color w:val="000000"/>
                <w:sz w:val="24"/>
                <w:szCs w:val="24"/>
                <w:u w:val="none"/>
                <w:lang w:val="en-US" w:eastAsia="zh-CN"/>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right="0" w:firstLine="640" w:firstLineChars="200"/>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1.电缆、配电柜等材料必须符合</w:t>
      </w:r>
      <w:r>
        <w:rPr>
          <w:rFonts w:hint="eastAsia" w:ascii="仿宋_GB2312" w:hAnsi="仿宋_GB2312" w:eastAsia="仿宋_GB2312" w:cs="仿宋_GB2312"/>
          <w:b w:val="0"/>
          <w:bCs/>
          <w:i w:val="0"/>
          <w:caps w:val="0"/>
          <w:color w:val="000000"/>
          <w:spacing w:val="0"/>
          <w:sz w:val="32"/>
          <w:szCs w:val="32"/>
        </w:rPr>
        <w:t>GB-5023-2008电缆国家标准</w:t>
      </w:r>
      <w:r>
        <w:rPr>
          <w:rFonts w:hint="eastAsia" w:ascii="仿宋_GB2312" w:hAnsi="仿宋_GB2312" w:eastAsia="仿宋_GB2312" w:cs="仿宋_GB2312"/>
          <w:b w:val="0"/>
          <w:bCs/>
          <w:i w:val="0"/>
          <w:caps w:val="0"/>
          <w:color w:val="000000"/>
          <w:spacing w:val="0"/>
          <w:sz w:val="32"/>
          <w:szCs w:val="32"/>
          <w:lang w:eastAsia="zh-CN"/>
        </w:rPr>
        <w:t>、</w:t>
      </w:r>
      <w:r>
        <w:rPr>
          <w:rFonts w:hint="eastAsia" w:ascii="仿宋_GB2312" w:hAnsi="仿宋_GB2312" w:eastAsia="仿宋_GB2312" w:cs="仿宋_GB2312"/>
          <w:b w:val="0"/>
          <w:bCs/>
          <w:i w:val="0"/>
          <w:caps w:val="0"/>
          <w:color w:val="000000"/>
          <w:spacing w:val="0"/>
          <w:sz w:val="32"/>
          <w:szCs w:val="32"/>
          <w:shd w:val="clear" w:fill="FFFFFF"/>
        </w:rPr>
        <w:t>GB/T 7251.1-2013低压成套开关设备和控制设备</w:t>
      </w:r>
      <w:r>
        <w:rPr>
          <w:rFonts w:hint="eastAsia" w:ascii="仿宋_GB2312" w:hAnsi="仿宋_GB2312" w:eastAsia="仿宋_GB2312" w:cs="仿宋_GB2312"/>
          <w:b w:val="0"/>
          <w:bCs/>
          <w:i w:val="0"/>
          <w:caps w:val="0"/>
          <w:color w:val="000000"/>
          <w:spacing w:val="0"/>
          <w:sz w:val="32"/>
          <w:szCs w:val="32"/>
          <w:shd w:val="clear" w:fill="FFFFFF"/>
          <w:lang w:eastAsia="zh-CN"/>
        </w:rPr>
        <w:t>。</w:t>
      </w:r>
    </w:p>
    <w:p>
      <w:pPr>
        <w:numPr>
          <w:ilvl w:val="0"/>
          <w:numId w:val="0"/>
        </w:numPr>
        <w:ind w:firstLine="640" w:firstLineChars="200"/>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2.虹桥厂区初步建议：高压配电间引出两路电源，其中一路电源线引至120kw充电桩，电源开关利用高配间空余的开关，引至240KW充电桩处的开关需要改造抽屉柜。分两路线缆引出，经配电室桥架，室外走道吊顶桥架至强电井，通过强电井至地下室，再分别制作桥架至两处充电桩安装处。</w:t>
      </w:r>
    </w:p>
    <w:p>
      <w:pPr>
        <w:numPr>
          <w:ilvl w:val="0"/>
          <w:numId w:val="0"/>
        </w:numPr>
        <w:ind w:firstLine="640" w:firstLineChars="200"/>
        <w:rPr>
          <w:rFonts w:hint="default" w:ascii="仿宋_GB2312" w:hAnsi="仿宋_GB2312" w:eastAsia="仿宋_GB2312" w:cs="仿宋_GB2312"/>
          <w:bCs/>
          <w:color w:val="000000" w:themeColor="text1"/>
          <w:kern w:val="0"/>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yellow"/>
          <w:lang w:val="en-US" w:eastAsia="zh-CN"/>
          <w14:textFill>
            <w14:solidFill>
              <w14:schemeClr w14:val="tx1"/>
            </w14:solidFill>
          </w14:textFill>
        </w:rPr>
        <w:t>3.每台充电桩需配备覆盖机体的防风防雨棚，材质要求防火。</w:t>
      </w:r>
    </w:p>
    <w:p>
      <w:pPr>
        <w:numPr>
          <w:ilvl w:val="0"/>
          <w:numId w:val="0"/>
        </w:num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（四）报价方式：</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1.分项报价（见附件）</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2.项目总价</w:t>
      </w:r>
    </w:p>
    <w:p>
      <w:p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（五）验收</w:t>
      </w:r>
    </w:p>
    <w:p>
      <w:pPr>
        <w:ind w:firstLine="640" w:firstLineChars="200"/>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1.初验收：设备到场提供</w:t>
      </w: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设备、材料产品合格证、说明书及技术资料、使用操作及维护维修手册等资料。</w:t>
      </w:r>
    </w:p>
    <w:p>
      <w:pPr>
        <w:ind w:firstLine="640" w:firstLineChars="200"/>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2.设备布线安装投入使用后，安全试运行3个月后，最终验收。（以合同约定为准）</w:t>
      </w:r>
    </w:p>
    <w:p>
      <w:pPr>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（六）项目设备到场及施工要求</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1.负责设备运输、搬运、安装、调试、培训。</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t>做好施工现场安全防护栏杆、摆放安全警示标志</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3.施工期间做到安全用电，如有切割、焊接等作业，必须提前申请动火证，在规定时间、规定地点安全作业。</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4.施工现场须有专职负责人，监督施工人员安全作业，严格按照施工方案进行施工，遇实际问题需双方协调解决。</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5.施工现场需保持整洁，做到随时清理，不得影响公司正常运营。</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6.项目施工人员提供专业操作相应证件，如焊接操作证、电工证等。</w:t>
      </w:r>
    </w:p>
    <w:p>
      <w:pPr>
        <w:ind w:firstLine="640" w:firstLineChars="200"/>
        <w:rPr>
          <w:rFonts w:hint="default"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7.本项目金额为闭口包干价，包含所有设备、人工、材料、工具等。</w:t>
      </w:r>
    </w:p>
    <w:p>
      <w:pPr>
        <w:pStyle w:val="9"/>
        <w:numPr>
          <w:ilvl w:val="0"/>
          <w:numId w:val="0"/>
        </w:numPr>
        <w:ind w:firstLine="640" w:firstLineChars="200"/>
        <w:rPr>
          <w:rFonts w:hint="eastAsia" w:ascii="黑体" w:hAnsi="黑体" w:eastAsia="黑体" w:cs="微软雅黑"/>
          <w:color w:val="auto"/>
          <w:kern w:val="0"/>
          <w:sz w:val="32"/>
          <w:szCs w:val="32"/>
          <w:highlight w:val="none"/>
          <w:lang w:val="en-US" w:eastAsia="zh-CN"/>
        </w:rPr>
      </w:pPr>
      <w:r>
        <w:rPr>
          <w:rFonts w:hint="eastAsia" w:ascii="黑体" w:hAnsi="黑体" w:eastAsia="黑体" w:cs="微软雅黑"/>
          <w:color w:val="auto"/>
          <w:kern w:val="0"/>
          <w:sz w:val="32"/>
          <w:szCs w:val="32"/>
          <w:highlight w:val="none"/>
          <w:lang w:val="en-US" w:eastAsia="zh-CN"/>
        </w:rPr>
        <w:t>四、供应商资质</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营业范围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包含</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电力设施承装、承修，电力、电气设备修理，建筑工程施工等；</w:t>
      </w:r>
    </w:p>
    <w:p>
      <w:pPr>
        <w:ind w:firstLine="640" w:firstLineChars="200"/>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2.承装（修、试）电力工程施工许可证五级及以上资质；</w:t>
      </w:r>
    </w:p>
    <w:p>
      <w:pPr>
        <w:ind w:firstLine="640" w:firstLineChars="200"/>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3.电力施工安全生产许可证；</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bookmarkStart w:id="1" w:name="_GoBack"/>
      <w:bookmarkEnd w:id="1"/>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附件 分项报价单</w:t>
      </w: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设备报价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316"/>
        <w:gridCol w:w="834"/>
        <w:gridCol w:w="933"/>
        <w:gridCol w:w="1144"/>
        <w:gridCol w:w="1338"/>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3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名称</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规格型号</w:t>
            </w:r>
          </w:p>
        </w:tc>
        <w:tc>
          <w:tcPr>
            <w:tcW w:w="834"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数量</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单位</w:t>
            </w:r>
          </w:p>
        </w:tc>
        <w:tc>
          <w:tcPr>
            <w:tcW w:w="114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单价</w:t>
            </w:r>
          </w:p>
        </w:tc>
        <w:tc>
          <w:tcPr>
            <w:tcW w:w="1338"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含税单价</w:t>
            </w:r>
          </w:p>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（税金 %）</w:t>
            </w:r>
          </w:p>
        </w:tc>
        <w:tc>
          <w:tcPr>
            <w:tcW w:w="1217"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240KW直流分体式充电桩</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83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1</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台</w:t>
            </w:r>
          </w:p>
        </w:tc>
        <w:tc>
          <w:tcPr>
            <w:tcW w:w="114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1338"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1217"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36"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lang w:val="en-US" w:eastAsia="zh-CN"/>
                <w14:textFill>
                  <w14:solidFill>
                    <w14:schemeClr w14:val="tx1"/>
                  </w14:solidFill>
                </w14:textFill>
              </w:rPr>
              <w:t>120KW直流一体式充电桩</w:t>
            </w:r>
          </w:p>
        </w:tc>
        <w:tc>
          <w:tcPr>
            <w:tcW w:w="1316"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834"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1</w:t>
            </w:r>
          </w:p>
        </w:tc>
        <w:tc>
          <w:tcPr>
            <w:tcW w:w="933"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台</w:t>
            </w:r>
          </w:p>
        </w:tc>
        <w:tc>
          <w:tcPr>
            <w:tcW w:w="1144"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c>
          <w:tcPr>
            <w:tcW w:w="1338"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c>
          <w:tcPr>
            <w:tcW w:w="1217" w:type="dxa"/>
          </w:tcPr>
          <w:p>
            <w:pPr>
              <w:rPr>
                <w:rFonts w:hint="default" w:ascii="仿宋_GB2312" w:hAnsi="仿宋_GB2312" w:eastAsia="仿宋_GB2312" w:cs="仿宋_GB2312"/>
                <w:bCs/>
                <w:color w:val="000000" w:themeColor="text1"/>
                <w:kern w:val="0"/>
                <w:sz w:val="32"/>
                <w:szCs w:val="32"/>
                <w:vertAlign w:val="baseline"/>
                <w:lang w:val="en-US" w:eastAsia="zh-CN"/>
                <w14:textFill>
                  <w14:solidFill>
                    <w14:schemeClr w14:val="tx1"/>
                  </w14:solidFill>
                </w14:textFill>
              </w:rPr>
            </w:pPr>
          </w:p>
        </w:tc>
      </w:tr>
    </w:tbl>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电力铺设</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
        <w:gridCol w:w="912"/>
        <w:gridCol w:w="3255"/>
        <w:gridCol w:w="555"/>
        <w:gridCol w:w="705"/>
        <w:gridCol w:w="1059"/>
        <w:gridCol w:w="726"/>
        <w:gridCol w:w="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名称</w:t>
            </w:r>
          </w:p>
        </w:tc>
        <w:tc>
          <w:tcPr>
            <w:tcW w:w="3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含税单价（税金  %）</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含税总价</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铜芯电缆</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ZCYJV4*120+1*70电缆线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172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ZCYJV4*120+1*70电缆线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320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电缆铺设</w:t>
            </w:r>
          </w:p>
        </w:tc>
        <w:tc>
          <w:tcPr>
            <w:tcW w:w="32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ZCYJV4*120+1*70电缆线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492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充电桩安装基础</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长1.0m*宽0.7m高0.2m，2个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sz w:val="18"/>
                <w:szCs w:val="18"/>
                <w:u w:val="none"/>
              </w:rPr>
              <w:t>充电桩和配电柜安装</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（接地制作）</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两台充电桩及充电桩配电柜（24位）安装（长600*高1800*深400mm）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充电桩垂直接地极制作</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充电桩接地扁钢安装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电缆接头制作</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5芯50-120mm2内电缆头（热缩）制作</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60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穿墙打孔（直径100）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低压配电系统设备安装</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含：电表安装、互感器安装、塑壳断路器配备及安装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高配间抽屉柜改造</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含抽屉单元二合一、柜内开关、母排、动触头、操动机构、仪表指示灯及元器件等</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桥架及辅材</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不锈钢制桥架200*100*1.5mm（线槽弯通、通丝吊杆、M10顶爆套件、M10螺母M10不锈钢螺母）</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rPr>
              <w:t>桥架安装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200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912"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rPr>
              <w:t>路面硬化</w:t>
            </w: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rPr>
              <w:t>做混凝土路面（硬化）（含绿化清理及开挖土方，基土层夯实后铺设石灰土层，厚度10cm稳定夯实，达到一定硬度后，铺设C30混凝土，厚度15cm,螺纹钢筋直径8mm,方格20*20cm）</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lang w:val="en-US" w:eastAsia="zh-CN"/>
              </w:rPr>
              <w:t>70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lang w:val="en-US" w:eastAsia="zh-CN"/>
              </w:rPr>
              <w:t>平方米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912"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rPr>
              <w:t>更换污水井金属雨水盖</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微软雅黑" w:hAnsi="微软雅黑" w:eastAsia="微软雅黑" w:cs="微软雅黑"/>
                <w:i w:val="0"/>
                <w:color w:val="000000"/>
                <w:sz w:val="18"/>
                <w:szCs w:val="18"/>
                <w:u w:val="none"/>
                <w:lang w:val="en-US" w:eastAsia="zh-CN"/>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912"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rPr>
              <w:t>排水管（不锈钢,国标，DN75）</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米</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912"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rPr>
              <w:t>排水井</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kern w:val="2"/>
                <w:sz w:val="18"/>
                <w:szCs w:val="18"/>
                <w:u w:val="none"/>
                <w:lang w:val="en-US" w:eastAsia="zh-CN" w:bidi="ar-SA"/>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9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其他辅材</w:t>
            </w:r>
          </w:p>
        </w:tc>
        <w:tc>
          <w:tcPr>
            <w:tcW w:w="5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微软雅黑" w:hAnsi="微软雅黑" w:eastAsia="微软雅黑" w:cs="微软雅黑"/>
                <w:i w:val="0"/>
                <w:color w:val="000000"/>
                <w:kern w:val="2"/>
                <w:sz w:val="18"/>
                <w:szCs w:val="18"/>
                <w:u w:val="none"/>
                <w:lang w:val="en-US" w:eastAsia="zh-CN" w:bidi="ar-SA"/>
              </w:rPr>
            </w:pPr>
            <w:r>
              <w:rPr>
                <w:rFonts w:hint="eastAsia" w:ascii="微软雅黑" w:hAnsi="微软雅黑" w:eastAsia="微软雅黑" w:cs="微软雅黑"/>
                <w:i w:val="0"/>
                <w:color w:val="000000"/>
                <w:sz w:val="18"/>
                <w:szCs w:val="18"/>
                <w:u w:val="none"/>
                <w:lang w:val="en-US" w:eastAsia="zh-CN"/>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人工总费用</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41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项目施工合计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项</w:t>
            </w: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项目总价（设备加电力铺设）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5"/>
        <w:gridCol w:w="240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75"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项目名称</w:t>
            </w:r>
          </w:p>
        </w:tc>
        <w:tc>
          <w:tcPr>
            <w:tcW w:w="2400"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不含税总价</w:t>
            </w:r>
          </w:p>
        </w:tc>
        <w:tc>
          <w:tcPr>
            <w:tcW w:w="2505" w:type="dxa"/>
          </w:tcPr>
          <w:p>
            <w:pPr>
              <w:rPr>
                <w:rFonts w:hint="default"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t>含税总价（税金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75"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r>
              <w:rPr>
                <w:rFonts w:hint="eastAsia" w:ascii="仿宋_GB2312" w:hAnsi="微软雅黑" w:eastAsia="仿宋_GB2312" w:cs="微软雅黑"/>
                <w:color w:val="000000" w:themeColor="text1"/>
                <w:kern w:val="0"/>
                <w:sz w:val="24"/>
                <w:szCs w:val="24"/>
                <w:lang w:val="en-US" w:eastAsia="zh-CN"/>
                <w14:textFill>
                  <w14:solidFill>
                    <w14:schemeClr w14:val="tx1"/>
                  </w14:solidFill>
                </w14:textFill>
              </w:rPr>
              <w:t>虹桥厂区</w:t>
            </w:r>
            <w:r>
              <w:rPr>
                <w:rFonts w:hint="eastAsia" w:ascii="仿宋_GB2312" w:hAnsi="微软雅黑" w:eastAsia="仿宋_GB2312" w:cs="微软雅黑"/>
                <w:color w:val="000000" w:themeColor="text1"/>
                <w:kern w:val="0"/>
                <w:sz w:val="24"/>
                <w:szCs w:val="24"/>
                <w14:textFill>
                  <w14:solidFill>
                    <w14:schemeClr w14:val="tx1"/>
                  </w14:solidFill>
                </w14:textFill>
              </w:rPr>
              <w:t>新能源配餐车车用充电桩采购项目</w:t>
            </w:r>
          </w:p>
        </w:tc>
        <w:tc>
          <w:tcPr>
            <w:tcW w:w="2400"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c>
          <w:tcPr>
            <w:tcW w:w="2505" w:type="dxa"/>
          </w:tcPr>
          <w:p>
            <w:pPr>
              <w:rPr>
                <w:rFonts w:hint="eastAsia" w:ascii="仿宋_GB2312" w:hAnsi="仿宋_GB2312" w:eastAsia="仿宋_GB2312" w:cs="仿宋_GB2312"/>
                <w:bCs/>
                <w:color w:val="000000" w:themeColor="text1"/>
                <w:kern w:val="0"/>
                <w:sz w:val="24"/>
                <w:szCs w:val="24"/>
                <w:vertAlign w:val="baseline"/>
                <w:lang w:val="en-US" w:eastAsia="zh-CN"/>
                <w14:textFill>
                  <w14:solidFill>
                    <w14:schemeClr w14:val="tx1"/>
                  </w14:solidFill>
                </w14:textFill>
              </w:rPr>
            </w:pPr>
          </w:p>
        </w:tc>
      </w:tr>
    </w:tbl>
    <w:p>
      <w:pPr>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注：报价表中内容根据方案自行补充。</w:t>
      </w: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C477F"/>
    <w:multiLevelType w:val="singleLevel"/>
    <w:tmpl w:val="E5AC47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72A27"/>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15F71E5"/>
    <w:rsid w:val="02CA4E95"/>
    <w:rsid w:val="02F12047"/>
    <w:rsid w:val="02FC0F80"/>
    <w:rsid w:val="038D13F5"/>
    <w:rsid w:val="04011D23"/>
    <w:rsid w:val="09AA40ED"/>
    <w:rsid w:val="0A35205B"/>
    <w:rsid w:val="0B613EDC"/>
    <w:rsid w:val="0C1E413A"/>
    <w:rsid w:val="0F415EE5"/>
    <w:rsid w:val="0F643F69"/>
    <w:rsid w:val="107965E8"/>
    <w:rsid w:val="11342E45"/>
    <w:rsid w:val="11CC0BF1"/>
    <w:rsid w:val="14340EE6"/>
    <w:rsid w:val="16065032"/>
    <w:rsid w:val="162F109F"/>
    <w:rsid w:val="17CF01FA"/>
    <w:rsid w:val="19134DD7"/>
    <w:rsid w:val="193D47AF"/>
    <w:rsid w:val="1AAF1495"/>
    <w:rsid w:val="1AD55E87"/>
    <w:rsid w:val="1D772DD1"/>
    <w:rsid w:val="1E6B60CE"/>
    <w:rsid w:val="20E27D39"/>
    <w:rsid w:val="22A816A0"/>
    <w:rsid w:val="24226318"/>
    <w:rsid w:val="245F5A32"/>
    <w:rsid w:val="247356F9"/>
    <w:rsid w:val="26A32FA5"/>
    <w:rsid w:val="28DB27E2"/>
    <w:rsid w:val="28E06186"/>
    <w:rsid w:val="2B25715A"/>
    <w:rsid w:val="2B791CCB"/>
    <w:rsid w:val="2C02128B"/>
    <w:rsid w:val="2D0354BA"/>
    <w:rsid w:val="30543114"/>
    <w:rsid w:val="31103C4E"/>
    <w:rsid w:val="31895DFB"/>
    <w:rsid w:val="33A24D10"/>
    <w:rsid w:val="37B0491D"/>
    <w:rsid w:val="39D04FA7"/>
    <w:rsid w:val="3AFF0687"/>
    <w:rsid w:val="40394495"/>
    <w:rsid w:val="408349EA"/>
    <w:rsid w:val="42C2256A"/>
    <w:rsid w:val="47BB4B72"/>
    <w:rsid w:val="4AF60718"/>
    <w:rsid w:val="4B6622A9"/>
    <w:rsid w:val="4C2270AC"/>
    <w:rsid w:val="4C4E0035"/>
    <w:rsid w:val="4F0F4144"/>
    <w:rsid w:val="4FDE438F"/>
    <w:rsid w:val="50A41B3A"/>
    <w:rsid w:val="50BA3088"/>
    <w:rsid w:val="50BE1AE9"/>
    <w:rsid w:val="515437E4"/>
    <w:rsid w:val="51D751EE"/>
    <w:rsid w:val="524D55AC"/>
    <w:rsid w:val="529868F8"/>
    <w:rsid w:val="55A33EB3"/>
    <w:rsid w:val="588910F8"/>
    <w:rsid w:val="593A1E66"/>
    <w:rsid w:val="5D0B5592"/>
    <w:rsid w:val="5D713690"/>
    <w:rsid w:val="5DFD1613"/>
    <w:rsid w:val="5E19144E"/>
    <w:rsid w:val="5F626A38"/>
    <w:rsid w:val="5F6C1325"/>
    <w:rsid w:val="5F803C69"/>
    <w:rsid w:val="63326DAF"/>
    <w:rsid w:val="637D1D49"/>
    <w:rsid w:val="63EE4C96"/>
    <w:rsid w:val="66191A7F"/>
    <w:rsid w:val="6A456AD9"/>
    <w:rsid w:val="6A5C2774"/>
    <w:rsid w:val="6B927153"/>
    <w:rsid w:val="6CDD744C"/>
    <w:rsid w:val="6DFF62F4"/>
    <w:rsid w:val="6E5A7CE9"/>
    <w:rsid w:val="73470442"/>
    <w:rsid w:val="73B04D4C"/>
    <w:rsid w:val="73C60433"/>
    <w:rsid w:val="76DA5BF7"/>
    <w:rsid w:val="793D478B"/>
    <w:rsid w:val="79F5428E"/>
    <w:rsid w:val="7BF41DC0"/>
    <w:rsid w:val="7CFE619E"/>
    <w:rsid w:val="7DEA1E97"/>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font01"/>
    <w:basedOn w:val="8"/>
    <w:qFormat/>
    <w:uiPriority w:val="0"/>
    <w:rPr>
      <w:rFonts w:hint="eastAsia" w:ascii="仿宋_GB2312" w:eastAsia="仿宋_GB2312" w:cs="仿宋_GB2312"/>
      <w:color w:val="000000"/>
      <w:sz w:val="24"/>
      <w:szCs w:val="24"/>
      <w:u w:val="none"/>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1969</Words>
  <Characters>2472</Characters>
  <Lines>11</Lines>
  <Paragraphs>3</Paragraphs>
  <TotalTime>4</TotalTime>
  <ScaleCrop>false</ScaleCrop>
  <LinksUpToDate>false</LinksUpToDate>
  <CharactersWithSpaces>2523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陈天舒</cp:lastModifiedBy>
  <cp:lastPrinted>2024-06-21T02:43:00Z</cp:lastPrinted>
  <dcterms:modified xsi:type="dcterms:W3CDTF">2024-09-18T08:40:33Z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F13C49D204934EA395B8CA81DB8739B2_13</vt:lpwstr>
  </property>
</Properties>
</file>