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center"/>
        <w:rPr>
          <w:rFonts w:hint="eastAsia" w:ascii="方正小标宋简体" w:eastAsia="方正小标宋简体" w:cs="仿宋_GB2312"/>
          <w:kern w:val="0"/>
          <w:sz w:val="44"/>
          <w:szCs w:val="44"/>
          <w:lang w:val="en-US" w:eastAsia="zh-CN"/>
        </w:rPr>
      </w:pPr>
      <w:r>
        <w:rPr>
          <w:rFonts w:hint="eastAsia" w:ascii="方正小标宋简体" w:eastAsia="方正小标宋简体" w:cs="仿宋_GB2312"/>
          <w:kern w:val="0"/>
          <w:sz w:val="44"/>
          <w:szCs w:val="44"/>
          <w:lang w:val="en-US" w:eastAsia="zh-CN"/>
        </w:rPr>
        <w:t>上海机场中航佳美航空食品有限公司</w:t>
      </w:r>
    </w:p>
    <w:p>
      <w:pPr>
        <w:jc w:val="center"/>
        <w:rPr>
          <w:rFonts w:hint="eastAsia" w:ascii="方正小标宋简体" w:eastAsia="方正小标宋简体" w:cs="仿宋_GB2312"/>
          <w:kern w:val="0"/>
          <w:sz w:val="44"/>
          <w:szCs w:val="44"/>
          <w:lang w:val="en-US" w:eastAsia="zh-CN"/>
        </w:rPr>
      </w:pPr>
      <w:r>
        <w:rPr>
          <w:rFonts w:hint="eastAsia" w:ascii="方正小标宋简体" w:eastAsia="方正小标宋简体" w:cs="仿宋_GB2312"/>
          <w:kern w:val="0"/>
          <w:sz w:val="44"/>
          <w:szCs w:val="44"/>
          <w:lang w:val="en-US" w:eastAsia="zh-CN"/>
        </w:rPr>
        <w:t>浦东厂区新能源配餐车车用充电桩</w:t>
      </w:r>
    </w:p>
    <w:p>
      <w:pPr>
        <w:jc w:val="center"/>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方正小标宋简体" w:eastAsia="方正小标宋简体" w:cs="仿宋_GB2312"/>
          <w:kern w:val="0"/>
          <w:sz w:val="44"/>
          <w:szCs w:val="44"/>
          <w:lang w:val="en-US" w:eastAsia="zh-CN"/>
        </w:rPr>
        <w:t>采购项目采购需求</w:t>
      </w:r>
    </w:p>
    <w:p>
      <w:pPr>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p>
    <w:p>
      <w:pPr>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根据中翼航空投资有限公司标准采购管理规程和上海机场中航佳美航空食品有限公司采购管理规定，该项目已具备采购条件。采购申请具体如下：</w:t>
      </w:r>
    </w:p>
    <w:p>
      <w:pPr>
        <w:pStyle w:val="9"/>
        <w:numPr>
          <w:ilvl w:val="0"/>
          <w:numId w:val="0"/>
        </w:numPr>
        <w:ind w:leftChars="0" w:firstLine="640" w:firstLineChars="200"/>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一、</w:t>
      </w:r>
      <w:r>
        <w:rPr>
          <w:rFonts w:hint="eastAsia" w:ascii="黑体" w:hAnsi="黑体" w:eastAsia="黑体" w:cs="微软雅黑"/>
          <w:color w:val="000000" w:themeColor="text1"/>
          <w:kern w:val="0"/>
          <w:sz w:val="32"/>
          <w:szCs w:val="32"/>
          <w14:textFill>
            <w14:solidFill>
              <w14:schemeClr w14:val="tx1"/>
            </w14:solidFill>
          </w14:textFill>
        </w:rPr>
        <w:t>项目概况</w:t>
      </w:r>
    </w:p>
    <w:p>
      <w:pPr>
        <w:spacing w:line="336" w:lineRule="auto"/>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1.项目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背景</w:t>
      </w:r>
      <w:r>
        <w:rPr>
          <w:rFonts w:hint="eastAsia"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为满足</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新能源配餐车</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的充电需求，浦东厂区共采购</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新能源配餐车充电装置共2台直流充电桩（1台240KW、1台120KW），除设备的采购还需包含供电线路、低压配电柜、电桩等电力施工。</w:t>
      </w:r>
    </w:p>
    <w:p>
      <w:pPr>
        <w:spacing w:line="336"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2.项目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名称</w:t>
      </w:r>
      <w:r>
        <w:rPr>
          <w:rFonts w:hint="eastAsia" w:ascii="仿宋_GB2312" w:hAnsi="微软雅黑" w:eastAsia="仿宋_GB2312" w:cs="微软雅黑"/>
          <w:color w:val="000000" w:themeColor="text1"/>
          <w:kern w:val="0"/>
          <w:sz w:val="32"/>
          <w:szCs w:val="32"/>
          <w14:textFill>
            <w14:solidFill>
              <w14:schemeClr w14:val="tx1"/>
            </w14:solidFill>
          </w14:textFill>
        </w:rPr>
        <w:t>：上海机场中航佳美航空食品有限公司</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浦东厂区</w:t>
      </w:r>
      <w:r>
        <w:rPr>
          <w:rFonts w:hint="eastAsia" w:ascii="仿宋_GB2312" w:hAnsi="微软雅黑" w:eastAsia="仿宋_GB2312" w:cs="微软雅黑"/>
          <w:color w:val="000000" w:themeColor="text1"/>
          <w:kern w:val="0"/>
          <w:sz w:val="32"/>
          <w:szCs w:val="32"/>
          <w14:textFill>
            <w14:solidFill>
              <w14:schemeClr w14:val="tx1"/>
            </w14:solidFill>
          </w14:textFill>
        </w:rPr>
        <w:t>新能源配餐车车用充电桩采购项目</w:t>
      </w:r>
    </w:p>
    <w:p>
      <w:pPr>
        <w:spacing w:line="336" w:lineRule="auto"/>
        <w:ind w:firstLine="640" w:firstLineChars="2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微软雅黑"/>
          <w:color w:val="000000" w:themeColor="text1"/>
          <w:kern w:val="0"/>
          <w:sz w:val="32"/>
          <w:szCs w:val="32"/>
          <w14:textFill>
            <w14:solidFill>
              <w14:schemeClr w14:val="tx1"/>
            </w14:solidFill>
          </w14:textFill>
        </w:rPr>
        <w:t>.合同期限：</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一次性采购项目（质保期2年）</w:t>
      </w:r>
    </w:p>
    <w:p>
      <w:pPr>
        <w:spacing w:line="336" w:lineRule="auto"/>
        <w:ind w:firstLine="640" w:firstLineChars="2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4</w:t>
      </w:r>
      <w:r>
        <w:rPr>
          <w:rFonts w:hint="eastAsia" w:ascii="仿宋_GB2312" w:hAnsi="微软雅黑" w:eastAsia="仿宋_GB2312" w:cs="微软雅黑"/>
          <w:color w:val="000000" w:themeColor="text1"/>
          <w:kern w:val="0"/>
          <w:sz w:val="32"/>
          <w:szCs w:val="32"/>
          <w14:textFill>
            <w14:solidFill>
              <w14:schemeClr w14:val="tx1"/>
            </w14:solidFill>
          </w14:textFill>
        </w:rPr>
        <w:t>.交付期限：</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30-60个自然日</w:t>
      </w:r>
    </w:p>
    <w:p>
      <w:pPr>
        <w:numPr>
          <w:ilvl w:val="0"/>
          <w:numId w:val="0"/>
        </w:num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5</w:t>
      </w:r>
      <w:r>
        <w:rPr>
          <w:rFonts w:hint="eastAsia" w:ascii="仿宋_GB2312" w:hAnsi="微软雅黑" w:eastAsia="仿宋_GB2312" w:cs="微软雅黑"/>
          <w:color w:val="000000" w:themeColor="text1"/>
          <w:kern w:val="0"/>
          <w:sz w:val="32"/>
          <w:szCs w:val="32"/>
          <w14:textFill>
            <w14:solidFill>
              <w14:schemeClr w14:val="tx1"/>
            </w14:solidFill>
          </w14:textFill>
        </w:rPr>
        <w:t>.付款方式：</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合同签订后预付合同总价的30%，设备安装和电力施工完成后初步验收完成，在收到增值税专用发票后一个月内支付合同总价的30%。试用期三个月并最终验收合格在收到增值税专用发票后一个月内支付合同总价的35%，待质保期到期后支付剩余的5%。</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注：浦东和虹桥航食服务发票要分开开具、结算。</w:t>
      </w:r>
    </w:p>
    <w:p>
      <w:pPr>
        <w:numPr>
          <w:ilvl w:val="0"/>
          <w:numId w:val="0"/>
        </w:numPr>
        <w:ind w:firstLine="640" w:firstLineChars="200"/>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6.设备和电力施工质保期在最终验收后24个月。</w:t>
      </w:r>
    </w:p>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7</w:t>
      </w:r>
      <w:r>
        <w:rPr>
          <w:rFonts w:hint="eastAsia" w:ascii="仿宋_GB2312" w:hAnsi="微软雅黑" w:eastAsia="仿宋_GB2312" w:cs="微软雅黑"/>
          <w:color w:val="000000" w:themeColor="text1"/>
          <w:kern w:val="0"/>
          <w:sz w:val="32"/>
          <w:szCs w:val="32"/>
          <w14:textFill>
            <w14:solidFill>
              <w14:schemeClr w14:val="tx1"/>
            </w14:solidFill>
          </w14:textFill>
        </w:rPr>
        <w:t>.项目地点：</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浦东厂区</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上海浦东新区</w:t>
      </w:r>
      <w:r>
        <w:rPr>
          <w:rFonts w:hint="eastAsia" w:ascii="仿宋_GB2312" w:hAnsi="微软雅黑" w:eastAsia="仿宋_GB2312" w:cs="微软雅黑"/>
          <w:color w:val="000000" w:themeColor="text1"/>
          <w:kern w:val="0"/>
          <w:sz w:val="32"/>
          <w:szCs w:val="32"/>
          <w14:textFill>
            <w14:solidFill>
              <w14:schemeClr w14:val="tx1"/>
            </w14:solidFill>
          </w14:textFill>
        </w:rPr>
        <w:t>领航路100号</w:t>
      </w:r>
    </w:p>
    <w:p>
      <w:pPr>
        <w:numPr>
          <w:ilvl w:val="0"/>
          <w:numId w:val="0"/>
        </w:numPr>
        <w:spacing w:beforeLines="0" w:afterLines="0" w:line="360" w:lineRule="auto"/>
        <w:ind w:firstLine="640" w:firstLineChars="200"/>
        <w:jc w:val="left"/>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8.充电装置执行标准：</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18487.1-2015 电动汽车传导充电系统第1 部分：通用要求</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GB/T 20234.2-2015 电动汽车传导充电用连接装置第1 部分：通用</w:t>
      </w:r>
      <w:r>
        <w:rPr>
          <w:rFonts w:hint="eastAsia" w:ascii="仿宋_GB2312" w:hAnsi="仿宋_GB2312" w:eastAsia="仿宋_GB2312" w:cs="仿宋_GB2312"/>
          <w:sz w:val="32"/>
          <w:szCs w:val="32"/>
          <w:lang w:val="en-US" w:eastAsia="zh-CN"/>
        </w:rPr>
        <w:t>要求；</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NB/T33008.1-2013 电动汽车充电设备检验试验规范第1 部分：非车载充电机</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27930-2015 电动汽车传导充电用连接装置第3 部分：直流充电接口</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19596-2004 电动汽车非车载传导式充电机与电池管理系统之间的通信协议</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17618 电动汽车术语</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 9254-2008 信息技术设备抗扰度限值和测量方法</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 4208-2008 信息技术设备的无线电骚扰限值和测量方法</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DL/T 645-2007 外壳防护等级（IP 代码）</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GB9286-1998 多功能电能表通信协议</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GB6587.4-1986 色漆和清漆漆膜的划格试验</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 6587.5-1986 电子测量仪器振动试验</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13384-2008 电子测量仪器冲击试验</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17626.2-2006 机电产品包装通用技术条件</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17626.3-2006 电磁兼容试验和测量技术静电放电抗扰度试验</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17626.4-2008 电磁兼容试验和测量技术射频电磁场辐射抗扰度试验</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17626.5-2008 电磁兼容试验和测量技术电快速瞬变脉冲群抗扰度试验</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17626.6-2008 电磁兼容试验和测量技术浪涌（冲击）抗扰度</w:t>
      </w:r>
      <w:r>
        <w:rPr>
          <w:rFonts w:hint="eastAsia" w:ascii="仿宋_GB2312" w:hAnsi="仿宋_GB2312" w:eastAsia="仿宋_GB2312" w:cs="仿宋_GB2312"/>
          <w:sz w:val="32"/>
          <w:szCs w:val="32"/>
          <w:lang w:val="en-US" w:eastAsia="zh-CN"/>
        </w:rPr>
        <w:t>试验</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20234.2-2015 电磁兼容试验和测量技术射频场感应的传导骚扰抗扰度</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9.电力施工</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执行标准：</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《中华人民共和国国家标准:电气装置安装工程施工及验收规范(GB50254-96、GB50255-96、GB50256-96、GB50257-96)》</w:t>
      </w:r>
    </w:p>
    <w:p>
      <w:pPr>
        <w:pStyle w:val="9"/>
        <w:numPr>
          <w:ilvl w:val="0"/>
          <w:numId w:val="0"/>
        </w:numPr>
        <w:ind w:leftChars="0" w:firstLine="640" w:firstLineChars="200"/>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二、</w:t>
      </w:r>
      <w:r>
        <w:rPr>
          <w:rFonts w:hint="eastAsia" w:ascii="黑体" w:hAnsi="黑体" w:eastAsia="黑体" w:cs="微软雅黑"/>
          <w:color w:val="000000" w:themeColor="text1"/>
          <w:kern w:val="0"/>
          <w:sz w:val="32"/>
          <w:szCs w:val="32"/>
          <w14:textFill>
            <w14:solidFill>
              <w14:schemeClr w14:val="tx1"/>
            </w14:solidFill>
          </w14:textFill>
        </w:rPr>
        <w:t>采购计划批复情况</w:t>
      </w:r>
    </w:p>
    <w:p>
      <w:pPr>
        <w:pStyle w:val="9"/>
        <w:numPr>
          <w:ilvl w:val="0"/>
          <w:numId w:val="0"/>
        </w:numPr>
        <w:ind w:leftChars="0" w:firstLine="640" w:firstLineChars="200"/>
        <w:rPr>
          <w:rFonts w:ascii="楷体_GB2312" w:hAnsi="微软雅黑" w:eastAsia="楷体_GB2312" w:cs="微软雅黑"/>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本项目已取得的中翼航空投资有限公司对上海航食《关于2024年采购计划变更的请示》的批复。</w:t>
      </w:r>
    </w:p>
    <w:p>
      <w:pPr>
        <w:pStyle w:val="9"/>
        <w:numPr>
          <w:ilvl w:val="0"/>
          <w:numId w:val="0"/>
        </w:numPr>
        <w:ind w:leftChars="0" w:firstLine="640" w:firstLineChars="200"/>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三、</w:t>
      </w:r>
      <w:r>
        <w:rPr>
          <w:rFonts w:hint="eastAsia" w:ascii="黑体" w:hAnsi="黑体" w:eastAsia="黑体" w:cs="微软雅黑"/>
          <w:color w:val="000000" w:themeColor="text1"/>
          <w:kern w:val="0"/>
          <w:sz w:val="32"/>
          <w:szCs w:val="32"/>
          <w14:textFill>
            <w14:solidFill>
              <w14:schemeClr w14:val="tx1"/>
            </w14:solidFill>
          </w14:textFill>
        </w:rPr>
        <w:t>采购需求</w:t>
      </w:r>
    </w:p>
    <w:tbl>
      <w:tblPr>
        <w:tblStyle w:val="6"/>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3216"/>
        <w:gridCol w:w="1421"/>
        <w:gridCol w:w="1180"/>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物资名称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规格型号</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标准或图号</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计量单位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快充充电桩</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120kW、双枪、直流、一体式</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国标</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套</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充电堆</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240kW、双枪、直流分体式</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国标</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套</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r>
    </w:tbl>
    <w:p>
      <w:pPr>
        <w:pStyle w:val="9"/>
        <w:numPr>
          <w:ilvl w:val="0"/>
          <w:numId w:val="0"/>
        </w:numP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240KW分体式直流</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充电桩技术参数</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78"/>
        <w:gridCol w:w="2778"/>
        <w:gridCol w:w="2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sz w:val="24"/>
                <w:szCs w:val="24"/>
                <w:u w:val="none"/>
                <w:lang w:val="en-US"/>
              </w:rPr>
            </w:pPr>
            <w:r>
              <w:rPr>
                <w:rFonts w:hint="eastAsia" w:ascii="仿宋_GB2312" w:hAnsi="仿宋_GB2312" w:eastAsia="仿宋_GB2312" w:cs="仿宋_GB2312"/>
                <w:b/>
                <w:bCs/>
                <w:i w:val="0"/>
                <w:color w:val="000000"/>
                <w:kern w:val="0"/>
                <w:sz w:val="24"/>
                <w:szCs w:val="24"/>
                <w:u w:val="none"/>
                <w:lang w:val="en-US" w:eastAsia="zh-CN" w:bidi="ar"/>
              </w:rPr>
              <w:t>技术指标</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参数</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环境条件</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环境温度：-20℃～65℃</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海拔高度：≤2000m</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电源条件</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输入电压：AC380V±15％</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输入频率：45-65Hz</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2" w:hRule="atLeast"/>
        </w:trPr>
        <w:tc>
          <w:tcPr>
            <w:tcW w:w="16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额定功率和输出电流、电压范围</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额定输出功率：240kW</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输出电压范围：DC 200V～1000V，可根据BMS自动调压</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输出电流范围：0 ~ 250A</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16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充电模块</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单模块功率：30kW</w:t>
            </w:r>
          </w:p>
        </w:tc>
        <w:tc>
          <w:tcPr>
            <w:tcW w:w="16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投标人或投标产品厂商须提供相关内容的具有CMA、CNAS认证标识的第三方检测报告复印件，并加盖公章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功率投切方式：全矩阵（任意枪可调用系统任意模块）</w:t>
            </w:r>
          </w:p>
        </w:tc>
        <w:tc>
          <w:tcPr>
            <w:tcW w:w="16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充电模块应具备防逆流功能</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充电终端</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每个终端需具备≥7寸LCD触摸屏</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身份确认：二维码认证、充电APP、刷卡</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1台整流柜支持同时多枪输出</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充电终端可配置为双枪亦可搭配液冷超充终端</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风冷充电终端枪线长度≥5米</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采用下出线</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720" w:firstLineChars="30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输入功率因数</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≥0.99</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辅助电源电压</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12/10A</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峰值效率</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≥96%</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稳压精度</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≤±0.5%</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稳流精度</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输出电压波纹</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谐波电流限制THD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≤5%，50%-100%负载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通信接口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4G/以太网</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噪声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≤65dB</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基本保护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充电枪温度检测、过压/欠压保护、过载保护、短路保护、过温保护、防雷保护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i w:val="0"/>
                <w:color w:val="000000"/>
                <w:sz w:val="24"/>
                <w:szCs w:val="24"/>
                <w:u w:val="none"/>
              </w:rPr>
            </w:pPr>
          </w:p>
        </w:tc>
      </w:tr>
    </w:tbl>
    <w:p>
      <w:pPr>
        <w:keepNext/>
        <w:keepLines/>
        <w:widowControl w:val="0"/>
        <w:numPr>
          <w:ilvl w:val="0"/>
          <w:numId w:val="0"/>
        </w:numPr>
        <w:tabs>
          <w:tab w:val="left" w:pos="420"/>
        </w:tabs>
        <w:bidi w:val="0"/>
        <w:spacing w:beforeLines="0" w:beforeAutospacing="0" w:afterLines="0" w:afterAutospacing="0" w:line="360" w:lineRule="auto"/>
        <w:ind w:firstLine="640" w:firstLineChars="200"/>
        <w:jc w:val="both"/>
        <w:outlineLvl w:val="3"/>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1.构成要求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充电机采用分体式结构型式，由整流柜和充电终端两部分构成，它们之间通过电缆连接组成一套完整的充电机系统。</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整流柜基本构成包括：</w:t>
      </w:r>
      <w:r>
        <w:rPr>
          <w:rFonts w:hint="eastAsia" w:ascii="仿宋_GB2312" w:hAnsi="仿宋_GB2312" w:eastAsia="仿宋_GB2312" w:cs="仿宋_GB2312"/>
          <w:sz w:val="32"/>
          <w:szCs w:val="32"/>
        </w:rPr>
        <w:t>动力电源输入、充电模块、功率投切开关单元，以及充电控制单元等部分组成</w:t>
      </w:r>
      <w:r>
        <w:rPr>
          <w:rFonts w:hint="eastAsia" w:ascii="仿宋_GB2312" w:hAnsi="仿宋_GB2312" w:eastAsia="仿宋_GB2312" w:cs="仿宋_GB2312"/>
          <w:color w:val="000000"/>
          <w:sz w:val="32"/>
          <w:szCs w:val="32"/>
        </w:rPr>
        <w:t>。</w:t>
      </w:r>
    </w:p>
    <w:p>
      <w:pPr>
        <w:keepNext/>
        <w:keepLines/>
        <w:widowControl w:val="0"/>
        <w:numPr>
          <w:ilvl w:val="0"/>
          <w:numId w:val="0"/>
        </w:numPr>
        <w:tabs>
          <w:tab w:val="left" w:pos="420"/>
        </w:tabs>
        <w:bidi w:val="0"/>
        <w:spacing w:beforeLines="0" w:beforeAutospacing="0" w:afterLines="0" w:afterAutospacing="0" w:line="360" w:lineRule="auto"/>
        <w:ind w:firstLine="640" w:firstLineChars="200"/>
        <w:jc w:val="both"/>
        <w:outlineLvl w:val="3"/>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color w:val="000000"/>
          <w:sz w:val="32"/>
          <w:szCs w:val="32"/>
        </w:rPr>
        <w:t>充电终端基本构成包括：</w:t>
      </w:r>
      <w:r>
        <w:rPr>
          <w:rFonts w:hint="eastAsia" w:ascii="仿宋_GB2312" w:hAnsi="仿宋_GB2312" w:eastAsia="仿宋_GB2312" w:cs="仿宋_GB2312"/>
          <w:sz w:val="32"/>
          <w:szCs w:val="32"/>
        </w:rPr>
        <w:t>输出开关单元、充电枪</w:t>
      </w:r>
      <w:bookmarkStart w:id="0" w:name="_Hlk107421597"/>
      <w:r>
        <w:rPr>
          <w:rFonts w:hint="eastAsia" w:ascii="仿宋_GB2312" w:hAnsi="仿宋_GB2312" w:eastAsia="仿宋_GB2312" w:cs="仿宋_GB2312"/>
          <w:sz w:val="32"/>
          <w:szCs w:val="32"/>
        </w:rPr>
        <w:t>枪</w:t>
      </w:r>
      <w:bookmarkEnd w:id="0"/>
      <w:r>
        <w:rPr>
          <w:rFonts w:hint="eastAsia" w:ascii="仿宋_GB2312" w:hAnsi="仿宋_GB2312" w:eastAsia="仿宋_GB2312" w:cs="仿宋_GB2312"/>
          <w:sz w:val="32"/>
          <w:szCs w:val="32"/>
        </w:rPr>
        <w:t>线和充电枪，以及充电控制单元、人机交互单元、计量单元等部分组成</w:t>
      </w:r>
      <w:r>
        <w:rPr>
          <w:rFonts w:hint="eastAsia" w:ascii="仿宋_GB2312" w:hAnsi="仿宋_GB2312" w:eastAsia="仿宋_GB2312" w:cs="仿宋_GB2312"/>
          <w:color w:val="000000"/>
          <w:sz w:val="32"/>
          <w:szCs w:val="32"/>
        </w:rPr>
        <w:t>。多枪可同时输出电流，具备输出功率动态分配功能。</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lang w:val="en-US" w:eastAsia="zh-CN" w:bidi="ar-SA"/>
        </w:rPr>
        <w:t>系统通讯结构，</w:t>
      </w:r>
      <w:r>
        <w:rPr>
          <w:rFonts w:hint="eastAsia" w:ascii="仿宋_GB2312" w:hAnsi="仿宋_GB2312" w:eastAsia="仿宋_GB2312" w:cs="仿宋_GB2312"/>
          <w:b w:val="0"/>
          <w:bCs w:val="0"/>
          <w:color w:val="auto"/>
          <w:sz w:val="32"/>
          <w:szCs w:val="32"/>
        </w:rPr>
        <w:t>双枪终端内需要配置2块控制板，1</w:t>
      </w:r>
      <w:r>
        <w:rPr>
          <w:rFonts w:hint="eastAsia" w:ascii="仿宋_GB2312" w:hAnsi="仿宋_GB2312" w:eastAsia="仿宋_GB2312" w:cs="仿宋_GB2312"/>
          <w:b w:val="0"/>
          <w:bCs w:val="0"/>
          <w:color w:val="auto"/>
          <w:sz w:val="32"/>
          <w:szCs w:val="32"/>
          <w:highlight w:val="none"/>
        </w:rPr>
        <w:t>块控制板对应1条充电枪，分2路通道分别和车辆的BMS通讯；</w:t>
      </w:r>
      <w:r>
        <w:rPr>
          <w:rFonts w:hint="eastAsia" w:ascii="仿宋_GB2312" w:hAnsi="仿宋_GB2312" w:eastAsia="仿宋_GB2312" w:cs="仿宋_GB2312"/>
          <w:b w:val="0"/>
          <w:bCs w:val="0"/>
          <w:color w:val="auto"/>
          <w:sz w:val="32"/>
          <w:szCs w:val="32"/>
          <w:highlight w:val="none"/>
          <w:lang w:val="en-US" w:eastAsia="zh-CN"/>
        </w:rPr>
        <w:t>充电桩设备需配置充电管理平台，通过网络能远程查询充电桩使用记录、充电耗能等情况，方便公司车辆的充电管理，优先考虑免费平台。</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Times New Roman" w:hAnsi="Times New Roman" w:eastAsia="宋体" w:cs="Times New Roman"/>
          <w:color w:val="000000"/>
          <w:lang w:val="en-US" w:eastAsia="zh-CN"/>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sz w:val="32"/>
          <w:szCs w:val="32"/>
          <w:lang w:val="en-US" w:eastAsia="zh-CN"/>
        </w:rPr>
        <w:t>设备核心元器件品牌需为如下品牌之一</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元器件名称</w:t>
            </w:r>
          </w:p>
        </w:tc>
        <w:tc>
          <w:tcPr>
            <w:tcW w:w="4261" w:type="dxa"/>
            <w:noWrap w:val="0"/>
            <w:vAlign w:val="top"/>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品牌名称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充电模块</w:t>
            </w:r>
          </w:p>
        </w:tc>
        <w:tc>
          <w:tcPr>
            <w:tcW w:w="4261" w:type="dxa"/>
            <w:noWrap w:val="0"/>
            <w:vAlign w:val="top"/>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盛弘/英飞源/科华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断路器</w:t>
            </w:r>
          </w:p>
        </w:tc>
        <w:tc>
          <w:tcPr>
            <w:tcW w:w="4261" w:type="dxa"/>
            <w:noWrap w:val="0"/>
            <w:vAlign w:val="top"/>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施耐德/良信/正泰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充电枪</w:t>
            </w:r>
          </w:p>
        </w:tc>
        <w:tc>
          <w:tcPr>
            <w:tcW w:w="4261" w:type="dxa"/>
            <w:noWrap w:val="0"/>
            <w:vAlign w:val="top"/>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沃尔/知崇/一航</w:t>
            </w:r>
          </w:p>
        </w:tc>
      </w:tr>
    </w:tbl>
    <w:p>
      <w:pPr>
        <w:keepNext/>
        <w:keepLines/>
        <w:widowControl w:val="0"/>
        <w:numPr>
          <w:ilvl w:val="0"/>
          <w:numId w:val="0"/>
        </w:numPr>
        <w:tabs>
          <w:tab w:val="left" w:pos="420"/>
        </w:tabs>
        <w:bidi w:val="0"/>
        <w:spacing w:beforeLines="0" w:beforeAutospacing="0" w:afterLines="0" w:afterAutospacing="0" w:line="360" w:lineRule="auto"/>
        <w:ind w:firstLine="640" w:firstLineChars="200"/>
        <w:jc w:val="both"/>
        <w:outlineLvl w:val="1"/>
        <w:rPr>
          <w:rFonts w:hint="eastAsia" w:ascii="Calibri" w:hAnsi="Calibri" w:eastAsia="宋体" w:cs="Times New Roman"/>
          <w:b/>
          <w:color w:val="000000"/>
          <w:kern w:val="2"/>
          <w:sz w:val="24"/>
          <w:szCs w:val="24"/>
          <w:lang w:val="en-US" w:eastAsia="zh-CN" w:bidi="ar-SA"/>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（二）</w:t>
      </w:r>
      <w:bookmarkStart w:id="1" w:name="_Toc4270"/>
      <w:r>
        <w:rPr>
          <w:rFonts w:hint="eastAsia" w:ascii="楷体_GB2312" w:hAnsi="楷体_GB2312" w:eastAsia="楷体_GB2312" w:cs="楷体_GB2312"/>
          <w:b w:val="0"/>
          <w:bCs/>
          <w:color w:val="000000"/>
          <w:kern w:val="2"/>
          <w:sz w:val="32"/>
          <w:szCs w:val="32"/>
          <w:lang w:val="en-US" w:eastAsia="zh-CN" w:bidi="ar-SA"/>
        </w:rPr>
        <w:t>120KW一体式直流充电桩技术要求</w:t>
      </w:r>
      <w:bookmarkEnd w:id="1"/>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01"/>
        <w:gridCol w:w="5039"/>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技术指标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环境条件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环境温度：-20℃～50℃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海拔高度：≤2000m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环境湿度：＜90%无凝霜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输入条件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输入电压：AC380V±15％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输入频率：45-65Hz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额定输入电流（A）：最大190A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额定功率、输出电压范围、最大输出电流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额定输出功率：120kW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输出电压范围：DC 200～1000V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最大输出电流（A）：单枪250A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外观结构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显示屏：采用电容屏，为7寸LCD显示触摸屏，提高用户于显示屏操作的便捷性，充电时显示：SOC、已充时间、充满需要时间；在出现故障时显示相应的提示信息。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投标人或投标产品厂商须提供相关内容的具有CMA、CNAS认证标识的第三方检测报告复印件，并加盖公章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充电枪数量及枪线长度：充电枪×2，枪线长5m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计量精度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投标人或投标产品厂商须提供相关内容的具有CNAS认证标识的第三方计量检测报告复印件，并加盖公章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功率因数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≥98%（50%负载以上）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稳压精度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稳流精度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绝缘电阻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≥10MΩ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0" w:type="auto"/>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其余要求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设备具备输入过压保护、输入欠压保护、输出过压保护、输出短路保护、过温保护、过载保护和短路保护等安全保护措施。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防撞等级：IK08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联网方式：以太网、4G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bl>
    <w:p>
      <w:pPr>
        <w:numPr>
          <w:ilvl w:val="0"/>
          <w:numId w:val="2"/>
        </w:numPr>
        <w:ind w:firstLine="640" w:firstLineChars="200"/>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电力布线安装（报名供应商集中现场勘查，出具施工方案，方案应包括但不限于：线路走向、电缆数量、铺设方式、配电柜数量等。</w:t>
      </w:r>
      <w:r>
        <w:rPr>
          <w:rFonts w:hint="eastAsia" w:ascii="楷体_GB2312" w:hAnsi="楷体_GB2312" w:eastAsia="楷体_GB2312" w:cs="楷体_GB2312"/>
          <w:color w:val="000000" w:themeColor="text1"/>
          <w:kern w:val="0"/>
          <w:sz w:val="32"/>
          <w:szCs w:val="32"/>
          <w:highlight w:val="yellow"/>
          <w:lang w:val="en-US" w:eastAsia="zh-CN"/>
          <w14:textFill>
            <w14:solidFill>
              <w14:schemeClr w14:val="tx1"/>
            </w14:solidFill>
          </w14:textFill>
        </w:rPr>
        <w:t>以下需求数据仅用于参考，最终需求数据以供应商现场测量，双方认可为准）</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w:t>
      </w:r>
    </w:p>
    <w:tbl>
      <w:tblPr>
        <w:tblStyle w:val="6"/>
        <w:tblW w:w="9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2"/>
        <w:gridCol w:w="1245"/>
        <w:gridCol w:w="3797"/>
        <w:gridCol w:w="975"/>
        <w:gridCol w:w="825"/>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名称</w:t>
            </w:r>
          </w:p>
        </w:tc>
        <w:tc>
          <w:tcPr>
            <w:tcW w:w="3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铜芯电缆</w:t>
            </w:r>
          </w:p>
        </w:tc>
        <w:tc>
          <w:tcPr>
            <w:tcW w:w="3797"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ZCYJV4*150+1*70电缆线</w:t>
            </w:r>
          </w:p>
        </w:tc>
        <w:tc>
          <w:tcPr>
            <w:tcW w:w="97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245</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米</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797"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ZCYJV4*95+1*50电缆线</w:t>
            </w:r>
          </w:p>
        </w:tc>
        <w:tc>
          <w:tcPr>
            <w:tcW w:w="97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米</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797"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ZCYJV4*120+1*70电缆线</w:t>
            </w:r>
          </w:p>
        </w:tc>
        <w:tc>
          <w:tcPr>
            <w:tcW w:w="97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300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米</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电缆铺设</w:t>
            </w:r>
          </w:p>
        </w:tc>
        <w:tc>
          <w:tcPr>
            <w:tcW w:w="3797"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ZCYJV4*150+1*70电缆线</w:t>
            </w:r>
          </w:p>
        </w:tc>
        <w:tc>
          <w:tcPr>
            <w:tcW w:w="97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245</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米</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797"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ZCYJV4*95+1*50电缆线</w:t>
            </w:r>
          </w:p>
        </w:tc>
        <w:tc>
          <w:tcPr>
            <w:tcW w:w="97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米</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797"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ZCYJV4*120+1*70电缆线</w:t>
            </w:r>
          </w:p>
        </w:tc>
        <w:tc>
          <w:tcPr>
            <w:tcW w:w="97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300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米</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7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吊顶拆除和恢复</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97</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平方米</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充电桩安装基础</w:t>
            </w:r>
          </w:p>
        </w:tc>
        <w:tc>
          <w:tcPr>
            <w:tcW w:w="37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长1.0m*宽0.7m高0.2m，长1.3m*宽0.8m高0.2m，长0.6m*宽0.4m高0.2m，</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项</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sz w:val="21"/>
                <w:szCs w:val="21"/>
                <w:u w:val="none"/>
              </w:rPr>
              <w:t>充电桩和配电柜安装</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（接地制作）</w:t>
            </w:r>
          </w:p>
        </w:tc>
        <w:tc>
          <w:tcPr>
            <w:tcW w:w="37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两台充电桩及充电桩配电柜（24位）安装（长600*高1800*深400mm）</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项</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7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充电桩垂直接地极制作</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3</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根</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p>
        </w:tc>
      </w:tr>
      <w:tr>
        <w:tblPrEx>
          <w:shd w:val="clear" w:color="auto" w:fill="auto"/>
          <w:tblCellMar>
            <w:top w:w="0" w:type="dxa"/>
            <w:left w:w="0" w:type="dxa"/>
            <w:bottom w:w="0" w:type="dxa"/>
            <w:right w:w="0"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7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充电桩接地扁钢安装</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6</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米</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电缆接头制作</w:t>
            </w:r>
          </w:p>
        </w:tc>
        <w:tc>
          <w:tcPr>
            <w:tcW w:w="37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5芯50-120mm2内电缆头（热缩）制作</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80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个</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7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穿墙打孔（直径100）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13</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个</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低压配电系统设备安装</w:t>
            </w:r>
          </w:p>
        </w:tc>
        <w:tc>
          <w:tcPr>
            <w:tcW w:w="37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含：电表安装、互感器安装、塑壳断路器配备及安装</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2</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项</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sz w:val="21"/>
                <w:szCs w:val="21"/>
                <w:u w:val="none"/>
              </w:rPr>
              <w:t>断路器</w:t>
            </w:r>
          </w:p>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r>
              <w:rPr>
                <w:rFonts w:hint="eastAsia" w:ascii="微软雅黑" w:hAnsi="微软雅黑" w:eastAsia="微软雅黑" w:cs="微软雅黑"/>
                <w:i w:val="0"/>
                <w:color w:val="000000"/>
                <w:sz w:val="21"/>
                <w:szCs w:val="21"/>
                <w:u w:val="none"/>
              </w:rPr>
              <w:t>（630A+400A）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高配间配电柜新增</w:t>
            </w:r>
          </w:p>
        </w:tc>
        <w:tc>
          <w:tcPr>
            <w:tcW w:w="37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含抽屉单元二合一、柜内开关、母排、动触头、操动机构、仪表指示灯及元器件等</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项</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sz w:val="21"/>
                <w:szCs w:val="21"/>
                <w:u w:val="none"/>
              </w:rPr>
              <w:t>630A+400A</w:t>
            </w:r>
          </w:p>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r>
              <w:rPr>
                <w:rFonts w:hint="eastAsia" w:ascii="微软雅黑" w:hAnsi="微软雅黑" w:eastAsia="微软雅黑" w:cs="微软雅黑"/>
                <w:i w:val="0"/>
                <w:color w:val="000000"/>
                <w:sz w:val="21"/>
                <w:szCs w:val="21"/>
                <w:u w:val="none"/>
              </w:rPr>
              <w:t>多功能表带智能计量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桥架及辅材</w:t>
            </w:r>
          </w:p>
        </w:tc>
        <w:tc>
          <w:tcPr>
            <w:tcW w:w="37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不锈钢制桥架300*100*1.5mm（线槽弯通、通丝吊杆、M10顶爆套件、M10螺母M10不锈钢螺母）</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120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米</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桥架安装</w:t>
            </w:r>
          </w:p>
        </w:tc>
        <w:tc>
          <w:tcPr>
            <w:tcW w:w="37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不锈钢制桥架100*100*1.0mm（线槽弯通、通丝吊杆、M10顶爆套件、M10螺母M10不锈钢螺母）</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120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米</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7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桥架安装</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240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米</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镀锌钢管</w:t>
            </w:r>
          </w:p>
        </w:tc>
        <w:tc>
          <w:tcPr>
            <w:tcW w:w="37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充电桩热镀锌钢管敷设，国标DN80mm，共3根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125</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米</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7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电缆井（1.2米）</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2</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根</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管沟开挖</w:t>
            </w:r>
          </w:p>
        </w:tc>
        <w:tc>
          <w:tcPr>
            <w:tcW w:w="37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混凝土地面开沟回填后浇筑</w:t>
            </w:r>
            <w:r>
              <w:rPr>
                <w:rFonts w:hint="eastAsia" w:ascii="微软雅黑" w:hAnsi="微软雅黑" w:eastAsia="微软雅黑" w:cs="微软雅黑"/>
                <w:i w:val="0"/>
                <w:color w:val="000000"/>
                <w:sz w:val="21"/>
                <w:szCs w:val="21"/>
                <w:u w:val="none"/>
                <w:lang w:val="en-US" w:eastAsia="zh-CN"/>
              </w:rPr>
              <w:t>3</w:t>
            </w:r>
            <w:r>
              <w:rPr>
                <w:rFonts w:hint="eastAsia" w:ascii="微软雅黑" w:hAnsi="微软雅黑" w:eastAsia="微软雅黑" w:cs="微软雅黑"/>
                <w:i w:val="0"/>
                <w:color w:val="000000"/>
                <w:sz w:val="21"/>
                <w:szCs w:val="21"/>
                <w:u w:val="none"/>
              </w:rPr>
              <w:t>混凝土（宽300*深500）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40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米</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其他辅材</w:t>
            </w:r>
          </w:p>
        </w:tc>
        <w:tc>
          <w:tcPr>
            <w:tcW w:w="37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1</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right="0" w:firstLine="640" w:firstLineChars="200"/>
        <w:rPr>
          <w:rFonts w:hint="eastAsia" w:ascii="仿宋_GB2312" w:hAnsi="仿宋_GB2312" w:eastAsia="仿宋_GB2312" w:cs="仿宋_GB2312"/>
          <w:b w:val="0"/>
          <w:bCs/>
          <w:i w:val="0"/>
          <w:caps w:val="0"/>
          <w:color w:val="000000"/>
          <w:spacing w:val="0"/>
          <w:sz w:val="32"/>
          <w:szCs w:val="32"/>
          <w:lang w:eastAsia="zh-CN"/>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1.电缆、配电柜等材料必须符合</w:t>
      </w:r>
      <w:r>
        <w:rPr>
          <w:rFonts w:hint="eastAsia" w:ascii="仿宋_GB2312" w:hAnsi="仿宋_GB2312" w:eastAsia="仿宋_GB2312" w:cs="仿宋_GB2312"/>
          <w:b w:val="0"/>
          <w:bCs/>
          <w:i w:val="0"/>
          <w:caps w:val="0"/>
          <w:color w:val="000000"/>
          <w:spacing w:val="0"/>
          <w:sz w:val="32"/>
          <w:szCs w:val="32"/>
        </w:rPr>
        <w:t>GB-5023-2008电缆国家标准</w:t>
      </w:r>
      <w:r>
        <w:rPr>
          <w:rFonts w:hint="eastAsia" w:ascii="仿宋_GB2312" w:hAnsi="仿宋_GB2312" w:eastAsia="仿宋_GB2312" w:cs="仿宋_GB2312"/>
          <w:b w:val="0"/>
          <w:bCs/>
          <w:i w:val="0"/>
          <w:caps w:val="0"/>
          <w:color w:val="000000"/>
          <w:spacing w:val="0"/>
          <w:sz w:val="32"/>
          <w:szCs w:val="32"/>
          <w:lang w:eastAsia="zh-CN"/>
        </w:rPr>
        <w:t>、</w:t>
      </w:r>
      <w:r>
        <w:rPr>
          <w:rFonts w:hint="eastAsia" w:ascii="仿宋_GB2312" w:hAnsi="仿宋_GB2312" w:eastAsia="仿宋_GB2312" w:cs="仿宋_GB2312"/>
          <w:b w:val="0"/>
          <w:bCs/>
          <w:i w:val="0"/>
          <w:caps w:val="0"/>
          <w:color w:val="000000"/>
          <w:spacing w:val="0"/>
          <w:sz w:val="32"/>
          <w:szCs w:val="32"/>
          <w:shd w:val="clear" w:fill="FFFFFF"/>
        </w:rPr>
        <w:t>GB/T 7251.1-2013低压成套开关设备和控制设备</w:t>
      </w:r>
      <w:r>
        <w:rPr>
          <w:rFonts w:hint="eastAsia" w:ascii="仿宋_GB2312" w:hAnsi="仿宋_GB2312" w:eastAsia="仿宋_GB2312" w:cs="仿宋_GB2312"/>
          <w:b w:val="0"/>
          <w:bCs/>
          <w:i w:val="0"/>
          <w:caps w:val="0"/>
          <w:color w:val="000000"/>
          <w:spacing w:val="0"/>
          <w:sz w:val="32"/>
          <w:szCs w:val="32"/>
          <w:shd w:val="clear" w:fill="FFFFFF"/>
          <w:lang w:eastAsia="zh-CN"/>
        </w:rPr>
        <w:t>。</w:t>
      </w:r>
    </w:p>
    <w:p>
      <w:pPr>
        <w:numPr>
          <w:ilvl w:val="0"/>
          <w:numId w:val="0"/>
        </w:num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2.浦东厂区电力布线初步建议：</w:t>
      </w:r>
      <w:r>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t>电源线的铺装为架式金属桥架安装，从高压配电间的低压室新装两台充电桩专属配电柜，从配电柜引出电源，经配电室室外走道</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经</w:t>
      </w:r>
      <w:r>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t>吊顶到d3-5配电间，</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再经</w:t>
      </w:r>
      <w:r>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t>d3-5配电间向下穿至地下室，经地下室穿出至发货区14号门外安装充电桩处，电源规格需与充电桩容量匹配</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t>经地下室穿出至发货区14号门外</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桥架因地库潮湿线缆桥架需要304不锈钢桥架，包含通丝吊杆等内容。</w:t>
      </w:r>
    </w:p>
    <w:p>
      <w:pPr>
        <w:numPr>
          <w:ilvl w:val="0"/>
          <w:numId w:val="0"/>
        </w:numPr>
        <w:ind w:firstLine="640" w:firstLineChars="200"/>
        <w:rPr>
          <w:rFonts w:hint="default" w:ascii="仿宋_GB2312" w:hAnsi="仿宋_GB2312" w:eastAsia="仿宋_GB2312" w:cs="仿宋_GB2312"/>
          <w:bCs/>
          <w:color w:val="000000" w:themeColor="text1"/>
          <w:kern w:val="0"/>
          <w:sz w:val="32"/>
          <w:szCs w:val="32"/>
          <w:highlight w:val="yellow"/>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yellow"/>
          <w:lang w:val="en-US" w:eastAsia="zh-CN"/>
          <w14:textFill>
            <w14:solidFill>
              <w14:schemeClr w14:val="tx1"/>
            </w14:solidFill>
          </w14:textFill>
        </w:rPr>
        <w:t>3.每台充电桩需配备覆盖机体的防风防雨棚，材质要求防火。</w:t>
      </w:r>
    </w:p>
    <w:p>
      <w:pPr>
        <w:numPr>
          <w:ilvl w:val="0"/>
          <w:numId w:val="0"/>
        </w:numPr>
        <w:ind w:firstLine="640" w:firstLineChars="200"/>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（四）报价方式：</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1.分项报价（见附件）</w:t>
      </w:r>
    </w:p>
    <w:p>
      <w:pPr>
        <w:ind w:firstLine="640" w:firstLineChars="200"/>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2.项目总价</w:t>
      </w:r>
    </w:p>
    <w:p>
      <w:pPr>
        <w:ind w:firstLine="640" w:firstLineChars="200"/>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（五）验收</w:t>
      </w:r>
    </w:p>
    <w:p>
      <w:pPr>
        <w:ind w:firstLine="640" w:firstLineChars="200"/>
        <w:rPr>
          <w:rFonts w:hint="eastAsia" w:ascii="仿宋_GB2312" w:hAnsi="微软雅黑" w:eastAsia="仿宋_GB2312" w:cs="微软雅黑"/>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1.初验收：设备到场提供</w:t>
      </w:r>
      <w:r>
        <w:rPr>
          <w:rFonts w:hint="eastAsia" w:ascii="仿宋_GB2312" w:hAnsi="微软雅黑" w:eastAsia="仿宋_GB2312" w:cs="微软雅黑"/>
          <w:color w:val="000000" w:themeColor="text1"/>
          <w:kern w:val="0"/>
          <w:sz w:val="32"/>
          <w:szCs w:val="32"/>
          <w:lang w:val="en-US" w:eastAsia="zh-CN" w:bidi="ar-SA"/>
          <w14:textFill>
            <w14:solidFill>
              <w14:schemeClr w14:val="tx1"/>
            </w14:solidFill>
          </w14:textFill>
        </w:rPr>
        <w:t>设备、材料产品合格证、说明书及技术资料、使用操作及维护维修手册等资料。</w:t>
      </w:r>
    </w:p>
    <w:p>
      <w:pPr>
        <w:ind w:firstLine="640" w:firstLineChars="200"/>
        <w:rPr>
          <w:rFonts w:hint="eastAsia" w:ascii="仿宋_GB2312" w:hAnsi="微软雅黑" w:eastAsia="仿宋_GB2312" w:cs="微软雅黑"/>
          <w:color w:val="000000" w:themeColor="text1"/>
          <w:kern w:val="0"/>
          <w:sz w:val="32"/>
          <w:szCs w:val="32"/>
          <w:lang w:val="en-US" w:eastAsia="zh-CN" w:bidi="ar-SA"/>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bidi="ar-SA"/>
          <w14:textFill>
            <w14:solidFill>
              <w14:schemeClr w14:val="tx1"/>
            </w14:solidFill>
          </w14:textFill>
        </w:rPr>
        <w:t>2.设备布线安装投入使用后，安全试运行3个月后，最终验收。（以合同约定为准）</w:t>
      </w:r>
    </w:p>
    <w:p>
      <w:pPr>
        <w:ind w:firstLine="640" w:firstLineChars="200"/>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（六）项目设备到场及施工要求</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1.负责设备运输、搬运、安装、调试、培训。</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w:t>
      </w:r>
      <w:r>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t>做好施工现场安全防护栏杆、摆放安全警示标志</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3.施工期间做到安全用电，如有切割、焊接等作业，必须提前申请动火证，在规定时间、规定地点安全作业。</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4.施工现场须有专职负责人，监督施工人员安全作业，严格按照施工方案进行施工，遇实际问题需双方协调解决。</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5.施工现场需保持整洁，做到随时清理，不得影响公司正常运营。</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6.项目施工人员提供专业操作相应证件，如焊接操作证、电工证等。</w:t>
      </w:r>
    </w:p>
    <w:p>
      <w:pPr>
        <w:ind w:firstLine="640" w:firstLineChars="200"/>
        <w:rPr>
          <w:rFonts w:hint="default" w:ascii="仿宋_GB2312" w:hAnsi="微软雅黑" w:eastAsia="仿宋_GB2312" w:cs="微软雅黑"/>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7.本项目金额为闭口包干价，包含所有设备、人工、材料、工具等。</w:t>
      </w:r>
    </w:p>
    <w:p>
      <w:pPr>
        <w:pStyle w:val="9"/>
        <w:numPr>
          <w:ilvl w:val="0"/>
          <w:numId w:val="0"/>
        </w:numPr>
        <w:ind w:firstLine="640" w:firstLineChars="200"/>
        <w:rPr>
          <w:rFonts w:hint="eastAsia" w:ascii="黑体" w:hAnsi="黑体" w:eastAsia="黑体" w:cs="微软雅黑"/>
          <w:color w:val="auto"/>
          <w:kern w:val="0"/>
          <w:sz w:val="32"/>
          <w:szCs w:val="32"/>
          <w:highlight w:val="none"/>
          <w:lang w:val="en-US" w:eastAsia="zh-CN"/>
        </w:rPr>
      </w:pPr>
      <w:r>
        <w:rPr>
          <w:rFonts w:hint="eastAsia" w:ascii="黑体" w:hAnsi="黑体" w:eastAsia="黑体" w:cs="微软雅黑"/>
          <w:color w:val="auto"/>
          <w:kern w:val="0"/>
          <w:sz w:val="32"/>
          <w:szCs w:val="32"/>
          <w:highlight w:val="none"/>
          <w:lang w:val="en-US" w:eastAsia="zh-CN"/>
        </w:rPr>
        <w:t>四、供应商资质</w:t>
      </w:r>
    </w:p>
    <w:p>
      <w:p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营业范围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包含</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电力设施承装、承修，电力、电气设备修理，建筑工程施工等；</w:t>
      </w:r>
    </w:p>
    <w:p>
      <w:pPr>
        <w:ind w:firstLine="640" w:firstLineChars="200"/>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2.承装（修、试）电力工程施工许可证五级及以上资质；</w:t>
      </w:r>
    </w:p>
    <w:p>
      <w:pPr>
        <w:ind w:firstLine="640" w:firstLineChars="200"/>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3.电力施工安全生产许可证；</w:t>
      </w:r>
    </w:p>
    <w:p>
      <w:pPr>
        <w:ind w:firstLine="640" w:firstLineChars="200"/>
        <w:rPr>
          <w:rFonts w:ascii="楷体_GB2312" w:hAnsi="微软雅黑" w:eastAsia="楷体_GB2312" w:cs="微软雅黑"/>
          <w:color w:val="000000" w:themeColor="text1"/>
          <w:kern w:val="0"/>
          <w:sz w:val="32"/>
          <w:szCs w:val="32"/>
          <w14:textFill>
            <w14:solidFill>
              <w14:schemeClr w14:val="tx1"/>
            </w14:solidFill>
          </w14:textFill>
        </w:rPr>
      </w:pP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附件 分项报价单</w:t>
      </w:r>
    </w:p>
    <w:p>
      <w:pPr>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设备报价</w:t>
      </w:r>
      <w:bookmarkStart w:id="2" w:name="_GoBack"/>
      <w:bookmarkEnd w:id="2"/>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316"/>
        <w:gridCol w:w="834"/>
        <w:gridCol w:w="933"/>
        <w:gridCol w:w="1144"/>
        <w:gridCol w:w="1338"/>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36"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名称</w:t>
            </w:r>
          </w:p>
        </w:tc>
        <w:tc>
          <w:tcPr>
            <w:tcW w:w="1316"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规格型号</w:t>
            </w:r>
          </w:p>
        </w:tc>
        <w:tc>
          <w:tcPr>
            <w:tcW w:w="834" w:type="dxa"/>
          </w:tcPr>
          <w:p>
            <w:pP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数量</w:t>
            </w:r>
          </w:p>
        </w:tc>
        <w:tc>
          <w:tcPr>
            <w:tcW w:w="933"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单位</w:t>
            </w:r>
          </w:p>
        </w:tc>
        <w:tc>
          <w:tcPr>
            <w:tcW w:w="1144"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单价</w:t>
            </w:r>
          </w:p>
        </w:tc>
        <w:tc>
          <w:tcPr>
            <w:tcW w:w="1338" w:type="dxa"/>
          </w:tcPr>
          <w:p>
            <w:pP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含税单价</w:t>
            </w:r>
          </w:p>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（税金 %）</w:t>
            </w:r>
          </w:p>
        </w:tc>
        <w:tc>
          <w:tcPr>
            <w:tcW w:w="1217"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240KW直流分体式充电桩</w:t>
            </w:r>
          </w:p>
        </w:tc>
        <w:tc>
          <w:tcPr>
            <w:tcW w:w="1316"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p>
        </w:tc>
        <w:tc>
          <w:tcPr>
            <w:tcW w:w="834"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1</w:t>
            </w:r>
          </w:p>
        </w:tc>
        <w:tc>
          <w:tcPr>
            <w:tcW w:w="933"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台</w:t>
            </w:r>
          </w:p>
        </w:tc>
        <w:tc>
          <w:tcPr>
            <w:tcW w:w="1144"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p>
        </w:tc>
        <w:tc>
          <w:tcPr>
            <w:tcW w:w="1338"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p>
        </w:tc>
        <w:tc>
          <w:tcPr>
            <w:tcW w:w="1217"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36" w:type="dxa"/>
          </w:tcPr>
          <w:p>
            <w:pPr>
              <w:rPr>
                <w:rFonts w:hint="default" w:ascii="仿宋_GB2312" w:hAnsi="仿宋_GB2312" w:eastAsia="仿宋_GB2312" w:cs="仿宋_GB2312"/>
                <w:bCs/>
                <w:color w:val="000000" w:themeColor="text1"/>
                <w:kern w:val="0"/>
                <w:sz w:val="32"/>
                <w:szCs w:val="32"/>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120KW直流一体式充电桩</w:t>
            </w:r>
          </w:p>
        </w:tc>
        <w:tc>
          <w:tcPr>
            <w:tcW w:w="1316"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p>
        </w:tc>
        <w:tc>
          <w:tcPr>
            <w:tcW w:w="834"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1</w:t>
            </w:r>
          </w:p>
        </w:tc>
        <w:tc>
          <w:tcPr>
            <w:tcW w:w="933"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台</w:t>
            </w:r>
          </w:p>
        </w:tc>
        <w:tc>
          <w:tcPr>
            <w:tcW w:w="1144" w:type="dxa"/>
          </w:tcPr>
          <w:p>
            <w:pPr>
              <w:rPr>
                <w:rFonts w:hint="default" w:ascii="仿宋_GB2312" w:hAnsi="仿宋_GB2312" w:eastAsia="仿宋_GB2312" w:cs="仿宋_GB2312"/>
                <w:bCs/>
                <w:color w:val="000000" w:themeColor="text1"/>
                <w:kern w:val="0"/>
                <w:sz w:val="32"/>
                <w:szCs w:val="32"/>
                <w:vertAlign w:val="baseline"/>
                <w:lang w:val="en-US" w:eastAsia="zh-CN"/>
                <w14:textFill>
                  <w14:solidFill>
                    <w14:schemeClr w14:val="tx1"/>
                  </w14:solidFill>
                </w14:textFill>
              </w:rPr>
            </w:pPr>
          </w:p>
        </w:tc>
        <w:tc>
          <w:tcPr>
            <w:tcW w:w="1338" w:type="dxa"/>
          </w:tcPr>
          <w:p>
            <w:pPr>
              <w:rPr>
                <w:rFonts w:hint="default" w:ascii="仿宋_GB2312" w:hAnsi="仿宋_GB2312" w:eastAsia="仿宋_GB2312" w:cs="仿宋_GB2312"/>
                <w:bCs/>
                <w:color w:val="000000" w:themeColor="text1"/>
                <w:kern w:val="0"/>
                <w:sz w:val="32"/>
                <w:szCs w:val="32"/>
                <w:vertAlign w:val="baseline"/>
                <w:lang w:val="en-US" w:eastAsia="zh-CN"/>
                <w14:textFill>
                  <w14:solidFill>
                    <w14:schemeClr w14:val="tx1"/>
                  </w14:solidFill>
                </w14:textFill>
              </w:rPr>
            </w:pPr>
          </w:p>
        </w:tc>
        <w:tc>
          <w:tcPr>
            <w:tcW w:w="1217" w:type="dxa"/>
          </w:tcPr>
          <w:p>
            <w:pPr>
              <w:rPr>
                <w:rFonts w:hint="default" w:ascii="仿宋_GB2312" w:hAnsi="仿宋_GB2312" w:eastAsia="仿宋_GB2312" w:cs="仿宋_GB2312"/>
                <w:bCs/>
                <w:color w:val="000000" w:themeColor="text1"/>
                <w:kern w:val="0"/>
                <w:sz w:val="32"/>
                <w:szCs w:val="32"/>
                <w:vertAlign w:val="baseline"/>
                <w:lang w:val="en-US" w:eastAsia="zh-CN"/>
                <w14:textFill>
                  <w14:solidFill>
                    <w14:schemeClr w14:val="tx1"/>
                  </w14:solidFill>
                </w14:textFill>
              </w:rPr>
            </w:pPr>
          </w:p>
        </w:tc>
      </w:tr>
    </w:tbl>
    <w:p>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电力铺设</w:t>
      </w:r>
    </w:p>
    <w:tbl>
      <w:tblPr>
        <w:tblStyle w:val="6"/>
        <w:tblW w:w="83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7"/>
        <w:gridCol w:w="1142"/>
        <w:gridCol w:w="2813"/>
        <w:gridCol w:w="712"/>
        <w:gridCol w:w="763"/>
        <w:gridCol w:w="1020"/>
        <w:gridCol w:w="673"/>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名称</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规格型号</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含税单</w:t>
            </w:r>
          </w:p>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税金  %</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含税总价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铜芯电缆</w:t>
            </w: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ZCYJV4*150+1*70电缆线</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245</w:t>
            </w:r>
          </w:p>
        </w:tc>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ZCYJV4*95+1*50电缆线</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50</w:t>
            </w:r>
          </w:p>
        </w:tc>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ZCYJV4*120+1*70电缆线</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300</w:t>
            </w:r>
          </w:p>
        </w:tc>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电缆铺设</w:t>
            </w: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ZCYJV4*150+1*70电缆线</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245</w:t>
            </w:r>
          </w:p>
        </w:tc>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ZCYJV4*95+1*50电缆线</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50</w:t>
            </w:r>
          </w:p>
        </w:tc>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ZCYJV4*120+1*70电缆线</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300</w:t>
            </w:r>
          </w:p>
        </w:tc>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吊顶拆除和恢复</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97</w:t>
            </w:r>
          </w:p>
        </w:tc>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平方米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充电桩安装基础</w:t>
            </w:r>
          </w:p>
        </w:tc>
        <w:tc>
          <w:tcPr>
            <w:tcW w:w="2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长1.0m*宽0.7m高0.2m，长1.3m*宽0.8m高0.2m，长0.6m*宽0.4m高0.2m，</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sz w:val="21"/>
                <w:szCs w:val="21"/>
                <w:u w:val="none"/>
              </w:rPr>
              <w:t>充电桩和配电柜安装</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（接地制作）</w:t>
            </w:r>
          </w:p>
        </w:tc>
        <w:tc>
          <w:tcPr>
            <w:tcW w:w="2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两台充电桩及充电桩配电柜（24位）安装（长600*高1800*深400mm）</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充电桩垂直接地极制作</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3</w:t>
            </w:r>
          </w:p>
        </w:tc>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根</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充电桩接地扁钢安装</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6</w:t>
            </w:r>
          </w:p>
        </w:tc>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电缆接头制作</w:t>
            </w:r>
          </w:p>
        </w:tc>
        <w:tc>
          <w:tcPr>
            <w:tcW w:w="2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5芯50-120mm2内电缆头（热缩）制作</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80</w:t>
            </w:r>
          </w:p>
        </w:tc>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穿墙打孔（直径100）</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13</w:t>
            </w:r>
          </w:p>
        </w:tc>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低压配电系统设备安装</w:t>
            </w:r>
          </w:p>
        </w:tc>
        <w:tc>
          <w:tcPr>
            <w:tcW w:w="2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含：电表安装、互感器安装、塑壳断路器配备及安装</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2</w:t>
            </w:r>
          </w:p>
        </w:tc>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sz w:val="21"/>
                <w:szCs w:val="21"/>
                <w:u w:val="none"/>
              </w:rPr>
              <w:t>断路器</w:t>
            </w:r>
          </w:p>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（630A+400A）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高配间配电柜新增</w:t>
            </w:r>
          </w:p>
        </w:tc>
        <w:tc>
          <w:tcPr>
            <w:tcW w:w="2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含抽屉单元二合一、柜内开关、母排、动触头、操动机构、仪表指示灯及元器件等</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微软雅黑" w:hAnsi="微软雅黑" w:eastAsia="微软雅黑" w:cs="微软雅黑"/>
                <w:i w:val="0"/>
                <w:color w:val="000000"/>
                <w:sz w:val="21"/>
                <w:szCs w:val="21"/>
                <w:u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sz w:val="21"/>
                <w:szCs w:val="21"/>
                <w:u w:val="none"/>
              </w:rPr>
              <w:t>630A+400A</w:t>
            </w:r>
          </w:p>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多功能表带智能计量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桥架及辅材</w:t>
            </w:r>
          </w:p>
        </w:tc>
        <w:tc>
          <w:tcPr>
            <w:tcW w:w="2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不锈钢制桥架300*100*1.5mm（线槽弯通、通丝吊杆、M10顶爆套件、M10螺母M10不锈钢螺母）</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120</w:t>
            </w:r>
          </w:p>
        </w:tc>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桥架安装</w:t>
            </w:r>
          </w:p>
        </w:tc>
        <w:tc>
          <w:tcPr>
            <w:tcW w:w="2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不锈钢制桥架100*100*1.0mm（线槽弯通、通丝吊杆、M10顶爆套件、M10螺母M10不锈钢螺母）</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120</w:t>
            </w:r>
          </w:p>
        </w:tc>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rPr>
              <w:t>桥架安装</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240</w:t>
            </w:r>
          </w:p>
        </w:tc>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21"/>
                <w:szCs w:val="21"/>
                <w:u w:val="none"/>
                <w:lang w:val="en-US" w:eastAsia="zh-CN"/>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镀锌钢管</w:t>
            </w:r>
          </w:p>
        </w:tc>
        <w:tc>
          <w:tcPr>
            <w:tcW w:w="2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充电桩热镀锌钢管敷设，国标DN80mm，共3根</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125</w:t>
            </w:r>
          </w:p>
        </w:tc>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电缆井（1.2米）</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2</w:t>
            </w:r>
          </w:p>
        </w:tc>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根</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管沟开挖</w:t>
            </w:r>
          </w:p>
        </w:tc>
        <w:tc>
          <w:tcPr>
            <w:tcW w:w="2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混凝土地面开沟回填后浇筑</w:t>
            </w:r>
            <w:r>
              <w:rPr>
                <w:rFonts w:hint="eastAsia" w:ascii="微软雅黑" w:hAnsi="微软雅黑" w:eastAsia="微软雅黑" w:cs="微软雅黑"/>
                <w:i w:val="0"/>
                <w:color w:val="000000"/>
                <w:sz w:val="21"/>
                <w:szCs w:val="21"/>
                <w:u w:val="none"/>
                <w:lang w:val="en-US" w:eastAsia="zh-CN"/>
              </w:rPr>
              <w:t>3</w:t>
            </w:r>
            <w:r>
              <w:rPr>
                <w:rFonts w:hint="eastAsia" w:ascii="微软雅黑" w:hAnsi="微软雅黑" w:eastAsia="微软雅黑" w:cs="微软雅黑"/>
                <w:i w:val="0"/>
                <w:color w:val="000000"/>
                <w:sz w:val="21"/>
                <w:szCs w:val="21"/>
                <w:u w:val="none"/>
              </w:rPr>
              <w:t>混凝土（宽300*深500）</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40</w:t>
            </w:r>
          </w:p>
        </w:tc>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rPr>
              <w:t>其他辅材</w:t>
            </w:r>
          </w:p>
        </w:tc>
        <w:tc>
          <w:tcPr>
            <w:tcW w:w="2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1"/>
                <w:szCs w:val="21"/>
                <w:u w:val="none"/>
                <w:lang w:val="en-US" w:eastAsia="zh-CN" w:bidi="ar-SA"/>
              </w:rPr>
            </w:pPr>
            <w:r>
              <w:rPr>
                <w:rFonts w:hint="eastAsia" w:ascii="微软雅黑" w:hAnsi="微软雅黑" w:eastAsia="微软雅黑" w:cs="微软雅黑"/>
                <w:i w:val="0"/>
                <w:color w:val="000000"/>
                <w:sz w:val="21"/>
                <w:szCs w:val="21"/>
                <w:u w:val="none"/>
                <w:lang w:val="en-US" w:eastAsia="zh-CN"/>
              </w:rPr>
              <w:t>1</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lang w:val="en-US" w:eastAsia="zh-CN"/>
              </w:rPr>
            </w:pPr>
            <w:r>
              <w:rPr>
                <w:rFonts w:hint="eastAsia" w:ascii="微软雅黑" w:hAnsi="微软雅黑" w:eastAsia="微软雅黑" w:cs="微软雅黑"/>
                <w:i w:val="0"/>
                <w:color w:val="000000"/>
                <w:sz w:val="21"/>
                <w:szCs w:val="21"/>
                <w:u w:val="none"/>
                <w:lang w:val="en-US" w:eastAsia="zh-CN"/>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人工总费用</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项</w:t>
            </w:r>
          </w:p>
        </w:tc>
        <w:tc>
          <w:tcPr>
            <w:tcW w:w="24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项目施工合计</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项</w:t>
            </w:r>
          </w:p>
        </w:tc>
        <w:tc>
          <w:tcPr>
            <w:tcW w:w="24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项目总价（设备加电力铺设）</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5"/>
        <w:gridCol w:w="241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vAlign w:val="top"/>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项目名称</w:t>
            </w:r>
          </w:p>
        </w:tc>
        <w:tc>
          <w:tcPr>
            <w:tcW w:w="2415" w:type="dxa"/>
            <w:vAlign w:val="top"/>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不含税总价</w:t>
            </w:r>
          </w:p>
        </w:tc>
        <w:tc>
          <w:tcPr>
            <w:tcW w:w="2685" w:type="dxa"/>
            <w:vAlign w:val="top"/>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含税总价（税金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795" w:type="dxa"/>
            <w:vAlign w:val="top"/>
          </w:tcPr>
          <w:p>
            <w:pP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微软雅黑" w:eastAsia="仿宋_GB2312" w:cs="微软雅黑"/>
                <w:color w:val="000000" w:themeColor="text1"/>
                <w:kern w:val="0"/>
                <w:sz w:val="24"/>
                <w:szCs w:val="24"/>
                <w:lang w:val="en-US" w:eastAsia="zh-CN"/>
                <w14:textFill>
                  <w14:solidFill>
                    <w14:schemeClr w14:val="tx1"/>
                  </w14:solidFill>
                </w14:textFill>
              </w:rPr>
              <w:t>浦东厂区</w:t>
            </w:r>
            <w:r>
              <w:rPr>
                <w:rFonts w:hint="eastAsia" w:ascii="仿宋_GB2312" w:hAnsi="微软雅黑" w:eastAsia="仿宋_GB2312" w:cs="微软雅黑"/>
                <w:color w:val="000000" w:themeColor="text1"/>
                <w:kern w:val="0"/>
                <w:sz w:val="24"/>
                <w:szCs w:val="24"/>
                <w14:textFill>
                  <w14:solidFill>
                    <w14:schemeClr w14:val="tx1"/>
                  </w14:solidFill>
                </w14:textFill>
              </w:rPr>
              <w:t>新能源配餐车车用充电桩采购项目</w:t>
            </w:r>
          </w:p>
        </w:tc>
        <w:tc>
          <w:tcPr>
            <w:tcW w:w="2415" w:type="dxa"/>
            <w:vAlign w:val="top"/>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p>
        </w:tc>
        <w:tc>
          <w:tcPr>
            <w:tcW w:w="2685" w:type="dxa"/>
            <w:vAlign w:val="top"/>
          </w:tcPr>
          <w:p>
            <w:pP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p>
        </w:tc>
      </w:tr>
    </w:tbl>
    <w:p>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ind w:firstLine="640" w:firstLineChars="200"/>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注：报价表中内容根据方案自行补充。</w:t>
      </w:r>
    </w:p>
    <w:p>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70B9DC"/>
    <w:multiLevelType w:val="singleLevel"/>
    <w:tmpl w:val="DB70B9DC"/>
    <w:lvl w:ilvl="0" w:tentative="0">
      <w:start w:val="2"/>
      <w:numFmt w:val="decimal"/>
      <w:lvlText w:val="%1."/>
      <w:lvlJc w:val="left"/>
      <w:pPr>
        <w:tabs>
          <w:tab w:val="left" w:pos="312"/>
        </w:tabs>
      </w:pPr>
    </w:lvl>
  </w:abstractNum>
  <w:abstractNum w:abstractNumId="1">
    <w:nsid w:val="E5AC477F"/>
    <w:multiLevelType w:val="singleLevel"/>
    <w:tmpl w:val="E5AC477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1D4"/>
    <w:rsid w:val="000550E3"/>
    <w:rsid w:val="00061DD7"/>
    <w:rsid w:val="00073587"/>
    <w:rsid w:val="000849F7"/>
    <w:rsid w:val="00084E14"/>
    <w:rsid w:val="000C170A"/>
    <w:rsid w:val="000E2B02"/>
    <w:rsid w:val="0013221E"/>
    <w:rsid w:val="001348E1"/>
    <w:rsid w:val="00171287"/>
    <w:rsid w:val="00180EAA"/>
    <w:rsid w:val="001C5795"/>
    <w:rsid w:val="001D0FAB"/>
    <w:rsid w:val="00201FAD"/>
    <w:rsid w:val="00214170"/>
    <w:rsid w:val="00223D20"/>
    <w:rsid w:val="00226EAE"/>
    <w:rsid w:val="002327A9"/>
    <w:rsid w:val="002B2046"/>
    <w:rsid w:val="002E107B"/>
    <w:rsid w:val="00325204"/>
    <w:rsid w:val="00362239"/>
    <w:rsid w:val="00371A25"/>
    <w:rsid w:val="003D05AB"/>
    <w:rsid w:val="003D1E41"/>
    <w:rsid w:val="003F31BE"/>
    <w:rsid w:val="00400996"/>
    <w:rsid w:val="00406426"/>
    <w:rsid w:val="00406574"/>
    <w:rsid w:val="00407C9D"/>
    <w:rsid w:val="00407CA1"/>
    <w:rsid w:val="00436531"/>
    <w:rsid w:val="004614B0"/>
    <w:rsid w:val="004A5B5D"/>
    <w:rsid w:val="004C6A98"/>
    <w:rsid w:val="00514B39"/>
    <w:rsid w:val="00551F28"/>
    <w:rsid w:val="0056617B"/>
    <w:rsid w:val="005709EB"/>
    <w:rsid w:val="00594C13"/>
    <w:rsid w:val="005B08D1"/>
    <w:rsid w:val="005C3C14"/>
    <w:rsid w:val="006030BF"/>
    <w:rsid w:val="0062742F"/>
    <w:rsid w:val="006913D3"/>
    <w:rsid w:val="006C0293"/>
    <w:rsid w:val="006E092D"/>
    <w:rsid w:val="0070497D"/>
    <w:rsid w:val="007106B6"/>
    <w:rsid w:val="00724476"/>
    <w:rsid w:val="00731B46"/>
    <w:rsid w:val="00736CD6"/>
    <w:rsid w:val="00747086"/>
    <w:rsid w:val="00762A19"/>
    <w:rsid w:val="00794D8C"/>
    <w:rsid w:val="007A72FA"/>
    <w:rsid w:val="007B0156"/>
    <w:rsid w:val="007C11D9"/>
    <w:rsid w:val="00804D24"/>
    <w:rsid w:val="0085224A"/>
    <w:rsid w:val="008A28DF"/>
    <w:rsid w:val="008A7E4C"/>
    <w:rsid w:val="008C17EF"/>
    <w:rsid w:val="008D37C2"/>
    <w:rsid w:val="008F001A"/>
    <w:rsid w:val="0090411D"/>
    <w:rsid w:val="00971051"/>
    <w:rsid w:val="00981A68"/>
    <w:rsid w:val="00983571"/>
    <w:rsid w:val="009A49D2"/>
    <w:rsid w:val="009A6AC9"/>
    <w:rsid w:val="009B0260"/>
    <w:rsid w:val="009B317D"/>
    <w:rsid w:val="00A442D9"/>
    <w:rsid w:val="00A47B16"/>
    <w:rsid w:val="00A96368"/>
    <w:rsid w:val="00AB3BE8"/>
    <w:rsid w:val="00AF7503"/>
    <w:rsid w:val="00B72329"/>
    <w:rsid w:val="00B747B2"/>
    <w:rsid w:val="00B863E1"/>
    <w:rsid w:val="00BF7988"/>
    <w:rsid w:val="00C21429"/>
    <w:rsid w:val="00C6029A"/>
    <w:rsid w:val="00CA3B76"/>
    <w:rsid w:val="00CC1EA5"/>
    <w:rsid w:val="00CC4E45"/>
    <w:rsid w:val="00CD6B6B"/>
    <w:rsid w:val="00CE6F2E"/>
    <w:rsid w:val="00D07988"/>
    <w:rsid w:val="00D2321C"/>
    <w:rsid w:val="00D3022D"/>
    <w:rsid w:val="00D477D1"/>
    <w:rsid w:val="00D75620"/>
    <w:rsid w:val="00DE258D"/>
    <w:rsid w:val="00E0025A"/>
    <w:rsid w:val="00E17ADC"/>
    <w:rsid w:val="00E5322E"/>
    <w:rsid w:val="00E96F5B"/>
    <w:rsid w:val="00EC4A37"/>
    <w:rsid w:val="00EC621F"/>
    <w:rsid w:val="00ED5206"/>
    <w:rsid w:val="00F61A1A"/>
    <w:rsid w:val="00F9084B"/>
    <w:rsid w:val="01122C80"/>
    <w:rsid w:val="01155E73"/>
    <w:rsid w:val="028D1C46"/>
    <w:rsid w:val="02F12047"/>
    <w:rsid w:val="02FC0F80"/>
    <w:rsid w:val="038D13F5"/>
    <w:rsid w:val="03A11D6F"/>
    <w:rsid w:val="05FE784F"/>
    <w:rsid w:val="09AA40ED"/>
    <w:rsid w:val="0A35205B"/>
    <w:rsid w:val="0B613EDC"/>
    <w:rsid w:val="0C0A33C9"/>
    <w:rsid w:val="0C1E413A"/>
    <w:rsid w:val="0CDD72FD"/>
    <w:rsid w:val="0F415EE5"/>
    <w:rsid w:val="107965E8"/>
    <w:rsid w:val="10EB5CAC"/>
    <w:rsid w:val="11342E45"/>
    <w:rsid w:val="11871246"/>
    <w:rsid w:val="14404A24"/>
    <w:rsid w:val="162F109F"/>
    <w:rsid w:val="16317378"/>
    <w:rsid w:val="18005693"/>
    <w:rsid w:val="18033574"/>
    <w:rsid w:val="1AD55E87"/>
    <w:rsid w:val="1B560F52"/>
    <w:rsid w:val="1DF75BE9"/>
    <w:rsid w:val="24226318"/>
    <w:rsid w:val="245F5A32"/>
    <w:rsid w:val="247356F9"/>
    <w:rsid w:val="277417EB"/>
    <w:rsid w:val="28DB27E2"/>
    <w:rsid w:val="28E06186"/>
    <w:rsid w:val="29A17AD7"/>
    <w:rsid w:val="2B25715A"/>
    <w:rsid w:val="2B4070D4"/>
    <w:rsid w:val="2B724FC1"/>
    <w:rsid w:val="2CE545D6"/>
    <w:rsid w:val="2D4762BA"/>
    <w:rsid w:val="2FB757EC"/>
    <w:rsid w:val="30543114"/>
    <w:rsid w:val="305B0D59"/>
    <w:rsid w:val="30C31789"/>
    <w:rsid w:val="30F43B1F"/>
    <w:rsid w:val="31011FA0"/>
    <w:rsid w:val="32AA7A6A"/>
    <w:rsid w:val="34F26180"/>
    <w:rsid w:val="36C75573"/>
    <w:rsid w:val="37B0491D"/>
    <w:rsid w:val="39D04FA7"/>
    <w:rsid w:val="40394495"/>
    <w:rsid w:val="408349EA"/>
    <w:rsid w:val="42970A2A"/>
    <w:rsid w:val="42C2256A"/>
    <w:rsid w:val="44796ECB"/>
    <w:rsid w:val="47BB4B72"/>
    <w:rsid w:val="49AE0F21"/>
    <w:rsid w:val="4C132CBC"/>
    <w:rsid w:val="4C4E0035"/>
    <w:rsid w:val="4CBD4A48"/>
    <w:rsid w:val="4FDE438F"/>
    <w:rsid w:val="50A41B3A"/>
    <w:rsid w:val="50BE1AE9"/>
    <w:rsid w:val="515437E4"/>
    <w:rsid w:val="51D751EE"/>
    <w:rsid w:val="52641DFF"/>
    <w:rsid w:val="548A5E7C"/>
    <w:rsid w:val="54AA020A"/>
    <w:rsid w:val="55A33EB3"/>
    <w:rsid w:val="588910F8"/>
    <w:rsid w:val="596E3C66"/>
    <w:rsid w:val="5D0B5592"/>
    <w:rsid w:val="5DBE4B2B"/>
    <w:rsid w:val="5DFD1613"/>
    <w:rsid w:val="5E19144E"/>
    <w:rsid w:val="5F6C1325"/>
    <w:rsid w:val="62752281"/>
    <w:rsid w:val="63326DAF"/>
    <w:rsid w:val="6432158E"/>
    <w:rsid w:val="64B20F6E"/>
    <w:rsid w:val="66191A7F"/>
    <w:rsid w:val="68682FBE"/>
    <w:rsid w:val="6A456AD9"/>
    <w:rsid w:val="6A5C2774"/>
    <w:rsid w:val="6B927153"/>
    <w:rsid w:val="6C9D6C9C"/>
    <w:rsid w:val="6D230E91"/>
    <w:rsid w:val="6DFF62F4"/>
    <w:rsid w:val="6E5A7CE9"/>
    <w:rsid w:val="71C70964"/>
    <w:rsid w:val="73C60433"/>
    <w:rsid w:val="794076C0"/>
    <w:rsid w:val="799E1EA7"/>
    <w:rsid w:val="79F5428E"/>
    <w:rsid w:val="7BF41DC0"/>
    <w:rsid w:val="7D3226AE"/>
    <w:rsid w:val="7F531DC3"/>
    <w:rsid w:val="7FC4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pPr>
    <w:rPr>
      <w:color w:val="000000"/>
      <w:kern w:val="2"/>
      <w:sz w:val="24"/>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rPr>
      <w:rFonts w:ascii="等线" w:hAnsi="等线" w:eastAsia="等线" w:cs="Times New Roman"/>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font01"/>
    <w:basedOn w:val="8"/>
    <w:qFormat/>
    <w:uiPriority w:val="0"/>
    <w:rPr>
      <w:rFonts w:hint="eastAsia" w:ascii="仿宋_GB2312" w:eastAsia="仿宋_GB2312" w:cs="仿宋_GB2312"/>
      <w:color w:val="000000"/>
      <w:sz w:val="24"/>
      <w:szCs w:val="24"/>
      <w:u w:val="none"/>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233</Words>
  <Characters>1331</Characters>
  <Lines>11</Lines>
  <Paragraphs>3</Paragraphs>
  <TotalTime>0</TotalTime>
  <ScaleCrop>false</ScaleCrop>
  <LinksUpToDate>false</LinksUpToDate>
  <CharactersWithSpaces>1561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陈天舒</cp:lastModifiedBy>
  <cp:lastPrinted>2024-06-21T02:43:00Z</cp:lastPrinted>
  <dcterms:modified xsi:type="dcterms:W3CDTF">2024-09-18T08:39:41Z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ies>
</file>