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880" w:firstLineChars="200"/>
        <w:jc w:val="center"/>
        <w:textAlignment w:val="auto"/>
        <w:outlineLvl w:val="9"/>
        <w:rPr>
          <w:rFonts w:hint="eastAsia" w:ascii="方正小标宋简体" w:hAnsi="方正小标宋简体" w:eastAsia="方正小标宋简体" w:cs="方正小标宋简体"/>
          <w:b w:val="0"/>
          <w:bCs w:val="0"/>
          <w:color w:val="auto"/>
          <w:kern w:val="0"/>
          <w:sz w:val="44"/>
          <w:szCs w:val="44"/>
          <w:lang w:val="en-US" w:eastAsia="zh-CN"/>
        </w:rPr>
      </w:pPr>
      <w:r>
        <w:rPr>
          <w:rFonts w:hint="eastAsia" w:ascii="方正小标宋简体" w:hAnsi="方正小标宋简体" w:eastAsia="方正小标宋简体" w:cs="方正小标宋简体"/>
          <w:b w:val="0"/>
          <w:bCs w:val="0"/>
          <w:color w:val="auto"/>
          <w:kern w:val="0"/>
          <w:sz w:val="44"/>
          <w:szCs w:val="44"/>
          <w:lang w:val="en-US" w:eastAsia="zh-CN"/>
        </w:rPr>
        <w:t>上海中航航空食品有限公司</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880" w:firstLineChars="200"/>
        <w:jc w:val="center"/>
        <w:textAlignment w:val="auto"/>
        <w:outlineLvl w:val="9"/>
        <w:rPr>
          <w:rFonts w:hint="eastAsia" w:ascii="方正小标宋简体" w:hAnsi="方正小标宋简体" w:eastAsia="方正小标宋简体" w:cs="方正小标宋简体"/>
          <w:b w:val="0"/>
          <w:bCs w:val="0"/>
          <w:color w:val="auto"/>
          <w:kern w:val="0"/>
          <w:sz w:val="44"/>
          <w:szCs w:val="44"/>
          <w:lang w:val="en-US" w:eastAsia="zh-CN"/>
        </w:rPr>
      </w:pPr>
      <w:r>
        <w:rPr>
          <w:rFonts w:hint="eastAsia" w:ascii="方正小标宋简体" w:hAnsi="方正小标宋简体" w:eastAsia="方正小标宋简体" w:cs="方正小标宋简体"/>
          <w:b w:val="0"/>
          <w:bCs w:val="0"/>
          <w:color w:val="auto"/>
          <w:kern w:val="0"/>
          <w:sz w:val="44"/>
          <w:szCs w:val="44"/>
          <w:lang w:val="en-US" w:eastAsia="zh-CN"/>
        </w:rPr>
        <w:t>虫害控制服务项目采购需求</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640" w:firstLineChars="200"/>
        <w:jc w:val="both"/>
        <w:textAlignment w:val="auto"/>
        <w:outlineLvl w:val="9"/>
        <w:rPr>
          <w:rFonts w:hint="eastAsia" w:ascii="仿宋_GB2312" w:hAnsi="微软雅黑" w:eastAsia="仿宋_GB2312" w:cs="微软雅黑"/>
          <w:color w:val="000000" w:themeColor="text1"/>
          <w:kern w:val="0"/>
          <w:sz w:val="32"/>
          <w:szCs w:val="32"/>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640" w:firstLineChars="200"/>
        <w:jc w:val="both"/>
        <w:textAlignment w:val="auto"/>
        <w:outlineLvl w:val="9"/>
        <w:rPr>
          <w:rFonts w:hint="eastAsia" w:ascii="仿宋_GB2312" w:hAnsi="微软雅黑" w:eastAsia="仿宋_GB2312" w:cs="微软雅黑"/>
          <w:color w:val="000000" w:themeColor="text1"/>
          <w:kern w:val="0"/>
          <w:sz w:val="32"/>
          <w:szCs w:val="32"/>
          <w14:textFill>
            <w14:solidFill>
              <w14:schemeClr w14:val="tx1"/>
            </w14:solidFill>
          </w14:textFill>
        </w:rPr>
      </w:pPr>
      <w:r>
        <w:rPr>
          <w:rFonts w:hint="eastAsia" w:ascii="仿宋_GB2312" w:hAnsi="微软雅黑" w:eastAsia="仿宋_GB2312" w:cs="微软雅黑"/>
          <w:color w:val="000000" w:themeColor="text1"/>
          <w:kern w:val="0"/>
          <w:sz w:val="32"/>
          <w:szCs w:val="32"/>
          <w14:textFill>
            <w14:solidFill>
              <w14:schemeClr w14:val="tx1"/>
            </w14:solidFill>
          </w14:textFill>
        </w:rPr>
        <w:t>根据中翼航空投资有限公司标准采购管理规程和上海中航航空食品有限公司采购管理</w:t>
      </w:r>
      <w:r>
        <w:rPr>
          <w:rFonts w:hint="eastAsia" w:ascii="仿宋_GB2312" w:hAnsi="微软雅黑" w:eastAsia="仿宋_GB2312" w:cs="微软雅黑"/>
          <w:color w:val="000000" w:themeColor="text1"/>
          <w:kern w:val="0"/>
          <w:sz w:val="32"/>
          <w:szCs w:val="32"/>
          <w:lang w:val="en-US" w:eastAsia="zh-CN"/>
          <w14:textFill>
            <w14:solidFill>
              <w14:schemeClr w14:val="tx1"/>
            </w14:solidFill>
          </w14:textFill>
        </w:rPr>
        <w:t>规范</w:t>
      </w:r>
      <w:r>
        <w:rPr>
          <w:rFonts w:hint="eastAsia" w:ascii="仿宋_GB2312" w:hAnsi="微软雅黑" w:eastAsia="仿宋_GB2312" w:cs="微软雅黑"/>
          <w:color w:val="000000" w:themeColor="text1"/>
          <w:kern w:val="0"/>
          <w:sz w:val="32"/>
          <w:szCs w:val="32"/>
          <w14:textFill>
            <w14:solidFill>
              <w14:schemeClr w14:val="tx1"/>
            </w14:solidFill>
          </w14:textFill>
        </w:rPr>
        <w:t>，该项目已具备采购条件。采购申请具体如下：</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640" w:firstLineChars="200"/>
        <w:jc w:val="both"/>
        <w:textAlignment w:val="auto"/>
        <w:outlineLvl w:val="9"/>
        <w:rPr>
          <w:rFonts w:hint="eastAsia" w:ascii="黑体" w:hAnsi="黑体" w:eastAsia="黑体" w:cs="黑体"/>
          <w:b w:val="0"/>
          <w:bCs w:val="0"/>
          <w:color w:val="auto"/>
          <w:kern w:val="0"/>
          <w:sz w:val="32"/>
          <w:szCs w:val="32"/>
          <w:lang w:val="en-US" w:eastAsia="zh-CN"/>
        </w:rPr>
      </w:pPr>
      <w:r>
        <w:rPr>
          <w:rFonts w:hint="eastAsia" w:ascii="黑体" w:hAnsi="黑体" w:eastAsia="黑体" w:cs="黑体"/>
          <w:b w:val="0"/>
          <w:bCs w:val="0"/>
          <w:color w:val="auto"/>
          <w:kern w:val="0"/>
          <w:sz w:val="32"/>
          <w:szCs w:val="32"/>
          <w:lang w:val="en-US" w:eastAsia="zh-CN"/>
        </w:rPr>
        <w:t>一、项目概况</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640" w:firstLineChars="200"/>
        <w:jc w:val="both"/>
        <w:textAlignment w:val="auto"/>
        <w:outlineLvl w:val="9"/>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（一）项目背景：</w:t>
      </w:r>
      <w:r>
        <w:rPr>
          <w:rFonts w:hint="eastAsia" w:ascii="仿宋_GB2312" w:hAnsi="微软雅黑" w:eastAsia="仿宋_GB2312" w:cs="微软雅黑"/>
          <w:color w:val="000000" w:themeColor="text1"/>
          <w:kern w:val="0"/>
          <w:sz w:val="32"/>
          <w:szCs w:val="32"/>
          <w:lang w:val="en-US" w:eastAsia="zh-CN"/>
          <w14:textFill>
            <w14:solidFill>
              <w14:schemeClr w14:val="tx1"/>
            </w14:solidFill>
          </w14:textFill>
        </w:rPr>
        <w:t>为落实《中华人民共和国食品安全法》、GB 14881-2025《食品安全国家标准 食品生产通用卫生规范》、GB 31641-2016《食品安全国家标准 航空食品卫生规范》、上海市爱国卫生运动委员会除四害管理规定及海关出入境检疫相关管理要求，科学管控厂区鼠类、蟑螂、蚊蝇及各类飞虫有害生物，降低虫害密度，消除航空配餐生产、仓储、配送全链条食品安全虫害风险，保障航空配餐食品卫生安全。</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640" w:firstLineChars="200"/>
        <w:jc w:val="both"/>
        <w:textAlignment w:val="auto"/>
        <w:outlineLvl w:val="9"/>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（二）项目名称：上海中航航空食品有限公司虫害控制服务项目</w:t>
      </w:r>
    </w:p>
    <w:p>
      <w:pPr>
        <w:ind w:firstLine="640" w:firstLineChars="200"/>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三</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服务</w:t>
      </w:r>
      <w:r>
        <w:rPr>
          <w:rFonts w:hint="eastAsia" w:ascii="仿宋_GB2312" w:hAnsi="仿宋_GB2312" w:eastAsia="仿宋_GB2312" w:cs="仿宋_GB2312"/>
          <w:color w:val="auto"/>
          <w:kern w:val="0"/>
          <w:sz w:val="32"/>
          <w:szCs w:val="32"/>
        </w:rPr>
        <w:t>地点：</w:t>
      </w:r>
    </w:p>
    <w:p>
      <w:pPr>
        <w:ind w:firstLine="640" w:firstLineChars="200"/>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1.</w:t>
      </w:r>
      <w:r>
        <w:rPr>
          <w:rFonts w:hint="eastAsia" w:ascii="仿宋_GB2312" w:hAnsi="仿宋_GB2312" w:eastAsia="仿宋_GB2312" w:cs="仿宋_GB2312"/>
          <w:color w:val="auto"/>
          <w:kern w:val="0"/>
          <w:sz w:val="32"/>
          <w:szCs w:val="32"/>
        </w:rPr>
        <w:t>虹桥</w:t>
      </w:r>
      <w:r>
        <w:rPr>
          <w:rFonts w:hint="eastAsia" w:ascii="仿宋_GB2312" w:hAnsi="仿宋_GB2312" w:eastAsia="仿宋_GB2312" w:cs="仿宋_GB2312"/>
          <w:color w:val="auto"/>
          <w:kern w:val="0"/>
          <w:sz w:val="32"/>
          <w:szCs w:val="32"/>
          <w:lang w:val="en-US" w:eastAsia="zh-CN"/>
        </w:rPr>
        <w:t>服务</w:t>
      </w:r>
      <w:r>
        <w:rPr>
          <w:rFonts w:hint="eastAsia" w:ascii="仿宋_GB2312" w:hAnsi="仿宋_GB2312" w:eastAsia="仿宋_GB2312" w:cs="仿宋_GB2312"/>
          <w:color w:val="auto"/>
          <w:kern w:val="0"/>
          <w:sz w:val="32"/>
          <w:szCs w:val="32"/>
        </w:rPr>
        <w:t>地点：</w:t>
      </w:r>
      <w:r>
        <w:rPr>
          <w:rFonts w:hint="eastAsia" w:ascii="仿宋_GB2312" w:hAnsi="仿宋_GB2312" w:eastAsia="仿宋_GB2312" w:cs="仿宋_GB2312"/>
          <w:color w:val="auto"/>
          <w:kern w:val="0"/>
          <w:sz w:val="32"/>
          <w:szCs w:val="32"/>
          <w:lang w:val="en-US" w:eastAsia="zh-CN"/>
        </w:rPr>
        <w:t>上海市闵行区</w:t>
      </w:r>
      <w:r>
        <w:rPr>
          <w:rFonts w:hint="eastAsia" w:ascii="仿宋_GB2312" w:hAnsi="仿宋_GB2312" w:eastAsia="仿宋_GB2312" w:cs="仿宋_GB2312"/>
          <w:color w:val="auto"/>
          <w:kern w:val="0"/>
          <w:sz w:val="32"/>
          <w:szCs w:val="32"/>
        </w:rPr>
        <w:t>申达五路106号</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总用地面积8189.36m2。项目为一幢地上3层、地下1层的建筑，建筑</w:t>
      </w:r>
      <w:r>
        <w:rPr>
          <w:rFonts w:hint="eastAsia" w:ascii="仿宋_GB2312" w:hAnsi="仿宋_GB2312" w:eastAsia="仿宋_GB2312" w:cs="仿宋_GB2312"/>
          <w:color w:val="auto"/>
          <w:kern w:val="0"/>
          <w:sz w:val="32"/>
          <w:szCs w:val="32"/>
          <w:lang w:val="en-US" w:eastAsia="zh-CN"/>
        </w:rPr>
        <w:t>总</w:t>
      </w:r>
      <w:r>
        <w:rPr>
          <w:rFonts w:hint="eastAsia" w:ascii="仿宋_GB2312" w:hAnsi="仿宋_GB2312" w:eastAsia="仿宋_GB2312" w:cs="仿宋_GB2312"/>
          <w:color w:val="auto"/>
          <w:kern w:val="0"/>
          <w:sz w:val="32"/>
          <w:szCs w:val="32"/>
        </w:rPr>
        <w:t>面积12956m2，其中地上建筑面积9246m2，地下建筑面积3710m2。</w:t>
      </w:r>
      <w:r>
        <w:rPr>
          <w:rFonts w:hint="eastAsia" w:ascii="仿宋_GB2312" w:hAnsi="仿宋_GB2312" w:eastAsia="仿宋_GB2312" w:cs="仿宋_GB2312"/>
          <w:color w:val="auto"/>
          <w:kern w:val="0"/>
          <w:sz w:val="32"/>
          <w:szCs w:val="32"/>
          <w:lang w:val="en-US" w:eastAsia="zh-CN"/>
        </w:rPr>
        <w:t>绿地面积1473.82m2，道路广场面积3281.36m2，生产区域面积3466m2，洗刷区域面积319.98m2，卫生间7个（根据我司实际情况调整）。</w:t>
      </w:r>
    </w:p>
    <w:p>
      <w:pPr>
        <w:ind w:firstLine="640" w:firstLineChars="200"/>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2.</w:t>
      </w:r>
      <w:r>
        <w:rPr>
          <w:rFonts w:hint="eastAsia" w:ascii="仿宋_GB2312" w:hAnsi="仿宋_GB2312" w:eastAsia="仿宋_GB2312" w:cs="仿宋_GB2312"/>
          <w:color w:val="auto"/>
          <w:kern w:val="0"/>
          <w:sz w:val="32"/>
          <w:szCs w:val="32"/>
        </w:rPr>
        <w:t>浦东</w:t>
      </w:r>
      <w:r>
        <w:rPr>
          <w:rFonts w:hint="eastAsia" w:ascii="仿宋_GB2312" w:hAnsi="仿宋_GB2312" w:eastAsia="仿宋_GB2312" w:cs="仿宋_GB2312"/>
          <w:color w:val="auto"/>
          <w:kern w:val="0"/>
          <w:sz w:val="32"/>
          <w:szCs w:val="32"/>
          <w:lang w:val="en-US" w:eastAsia="zh-CN"/>
        </w:rPr>
        <w:t>服务</w:t>
      </w:r>
      <w:r>
        <w:rPr>
          <w:rFonts w:hint="eastAsia" w:ascii="仿宋_GB2312" w:hAnsi="仿宋_GB2312" w:eastAsia="仿宋_GB2312" w:cs="仿宋_GB2312"/>
          <w:color w:val="auto"/>
          <w:kern w:val="0"/>
          <w:sz w:val="32"/>
          <w:szCs w:val="32"/>
        </w:rPr>
        <w:t>地点：</w:t>
      </w:r>
      <w:r>
        <w:rPr>
          <w:rFonts w:hint="eastAsia" w:ascii="仿宋_GB2312" w:hAnsi="仿宋_GB2312" w:eastAsia="仿宋_GB2312" w:cs="仿宋_GB2312"/>
          <w:color w:val="auto"/>
          <w:kern w:val="0"/>
          <w:sz w:val="32"/>
          <w:szCs w:val="32"/>
          <w:lang w:val="en-US" w:eastAsia="zh-CN"/>
        </w:rPr>
        <w:t>上海市</w:t>
      </w:r>
      <w:r>
        <w:rPr>
          <w:rFonts w:hint="eastAsia" w:ascii="仿宋_GB2312" w:hAnsi="仿宋_GB2312" w:eastAsia="仿宋_GB2312" w:cs="仿宋_GB2312"/>
          <w:color w:val="auto"/>
          <w:kern w:val="0"/>
          <w:sz w:val="32"/>
          <w:szCs w:val="32"/>
        </w:rPr>
        <w:t>浦东新区领航路100号，</w:t>
      </w:r>
      <w:r>
        <w:rPr>
          <w:rFonts w:hint="eastAsia" w:ascii="仿宋_GB2312" w:hAnsi="仿宋_GB2312" w:eastAsia="仿宋_GB2312" w:cs="仿宋_GB2312"/>
          <w:color w:val="auto"/>
          <w:kern w:val="0"/>
          <w:sz w:val="32"/>
          <w:szCs w:val="32"/>
          <w:lang w:val="en-US" w:eastAsia="zh-CN"/>
        </w:rPr>
        <w:t>总用地面积44550m2。</w:t>
      </w:r>
      <w:r>
        <w:rPr>
          <w:rFonts w:hint="eastAsia" w:ascii="仿宋_GB2312" w:hAnsi="仿宋_GB2312" w:eastAsia="仿宋_GB2312" w:cs="仿宋_GB2312"/>
          <w:color w:val="auto"/>
          <w:kern w:val="0"/>
          <w:sz w:val="32"/>
          <w:szCs w:val="32"/>
        </w:rPr>
        <w:t>项目为一幢地上3层建筑</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建筑总</w:t>
      </w:r>
      <w:r>
        <w:rPr>
          <w:rFonts w:hint="eastAsia" w:ascii="仿宋_GB2312" w:hAnsi="仿宋_GB2312" w:eastAsia="仿宋_GB2312" w:cs="仿宋_GB2312"/>
          <w:color w:val="auto"/>
          <w:kern w:val="0"/>
          <w:sz w:val="32"/>
          <w:szCs w:val="32"/>
        </w:rPr>
        <w:t>面积26310m2</w:t>
      </w:r>
      <w:r>
        <w:rPr>
          <w:rFonts w:hint="eastAsia" w:ascii="仿宋_GB2312" w:hAnsi="仿宋_GB2312" w:eastAsia="仿宋_GB2312" w:cs="仿宋_GB2312"/>
          <w:color w:val="auto"/>
          <w:kern w:val="0"/>
          <w:sz w:val="32"/>
          <w:szCs w:val="32"/>
          <w:lang w:val="en-US" w:eastAsia="zh-CN"/>
        </w:rPr>
        <w:t>,其中一层建筑面积10085m2，二层建筑面积8425m2，三层建筑面积7015m2，屋顶层建筑面积785m2。绿地面积13050m2，道路广场面积12080m2，生产区域面积4800m2，洗刷区域面积454m2，卫生间16个（根据我司实际情况调整）。</w:t>
      </w:r>
    </w:p>
    <w:p>
      <w:pPr>
        <w:keepNext w:val="0"/>
        <w:keepLines w:val="0"/>
        <w:pageBreakBefore w:val="0"/>
        <w:kinsoku/>
        <w:wordWrap/>
        <w:overflowPunct/>
        <w:topLinePunct w:val="0"/>
        <w:autoSpaceDE/>
        <w:autoSpaceDN/>
        <w:bidi w:val="0"/>
        <w:adjustRightInd/>
        <w:snapToGrid/>
        <w:spacing w:line="336" w:lineRule="auto"/>
        <w:ind w:firstLine="640" w:firstLineChars="200"/>
        <w:rPr>
          <w:rFonts w:hint="default" w:ascii="仿宋_GB2312" w:hAnsi="微软雅黑" w:eastAsia="仿宋_GB2312" w:cs="微软雅黑"/>
          <w:color w:val="000000" w:themeColor="text1"/>
          <w:kern w:val="0"/>
          <w:sz w:val="32"/>
          <w:szCs w:val="32"/>
          <w:lang w:val="en-US" w:eastAsia="zh-CN"/>
          <w14:textFill>
            <w14:solidFill>
              <w14:schemeClr w14:val="tx1"/>
            </w14:solidFill>
          </w14:textFill>
        </w:rPr>
      </w:pPr>
      <w:r>
        <w:rPr>
          <w:rFonts w:hint="eastAsia" w:ascii="仿宋_GB2312" w:hAnsi="微软雅黑" w:eastAsia="仿宋_GB2312" w:cs="微软雅黑"/>
          <w:color w:val="000000" w:themeColor="text1"/>
          <w:kern w:val="0"/>
          <w:sz w:val="32"/>
          <w:szCs w:val="32"/>
          <w:lang w:eastAsia="zh-CN"/>
          <w14:textFill>
            <w14:solidFill>
              <w14:schemeClr w14:val="tx1"/>
            </w14:solidFill>
          </w14:textFill>
        </w:rPr>
        <w:t>（</w:t>
      </w:r>
      <w:r>
        <w:rPr>
          <w:rFonts w:hint="eastAsia" w:ascii="仿宋_GB2312" w:hAnsi="微软雅黑" w:eastAsia="仿宋_GB2312" w:cs="微软雅黑"/>
          <w:color w:val="000000" w:themeColor="text1"/>
          <w:kern w:val="0"/>
          <w:sz w:val="32"/>
          <w:szCs w:val="32"/>
          <w:lang w:val="en-US" w:eastAsia="zh-CN"/>
          <w14:textFill>
            <w14:solidFill>
              <w14:schemeClr w14:val="tx1"/>
            </w14:solidFill>
          </w14:textFill>
        </w:rPr>
        <w:t>四</w:t>
      </w:r>
      <w:r>
        <w:rPr>
          <w:rFonts w:hint="eastAsia" w:ascii="仿宋_GB2312" w:hAnsi="微软雅黑" w:eastAsia="仿宋_GB2312" w:cs="微软雅黑"/>
          <w:color w:val="000000" w:themeColor="text1"/>
          <w:kern w:val="0"/>
          <w:sz w:val="32"/>
          <w:szCs w:val="32"/>
          <w:lang w:eastAsia="zh-CN"/>
          <w14:textFill>
            <w14:solidFill>
              <w14:schemeClr w14:val="tx1"/>
            </w14:solidFill>
          </w14:textFill>
        </w:rPr>
        <w:t>）</w:t>
      </w:r>
      <w:r>
        <w:rPr>
          <w:rFonts w:hint="eastAsia" w:ascii="仿宋_GB2312" w:hAnsi="微软雅黑" w:eastAsia="仿宋_GB2312" w:cs="微软雅黑"/>
          <w:color w:val="000000" w:themeColor="text1"/>
          <w:kern w:val="0"/>
          <w:sz w:val="32"/>
          <w:szCs w:val="32"/>
          <w14:textFill>
            <w14:solidFill>
              <w14:schemeClr w14:val="tx1"/>
            </w14:solidFill>
          </w14:textFill>
        </w:rPr>
        <w:t>合同期限：</w:t>
      </w:r>
      <w:r>
        <w:rPr>
          <w:rFonts w:hint="eastAsia" w:ascii="仿宋_GB2312" w:hAnsi="微软雅黑" w:eastAsia="仿宋_GB2312" w:cs="微软雅黑"/>
          <w:color w:val="000000" w:themeColor="text1"/>
          <w:kern w:val="0"/>
          <w:sz w:val="32"/>
          <w:szCs w:val="32"/>
          <w:highlight w:val="none"/>
          <w:lang w:val="en-US" w:eastAsia="zh-CN"/>
          <w14:textFill>
            <w14:solidFill>
              <w14:schemeClr w14:val="tx1"/>
            </w14:solidFill>
          </w14:textFill>
        </w:rPr>
        <w:t>自合同签订之日起三年</w:t>
      </w:r>
    </w:p>
    <w:p>
      <w:pPr>
        <w:ind w:firstLine="640" w:firstLineChars="200"/>
        <w:rPr>
          <w:rFonts w:hint="default"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五）交付期限及方式：自合同签订当日起，服务商完整交付全套虫害防控实施方案、场地设施布局图纸、全部虫控设施安装布设、月度服务计划、药剂资质文件、应急预案等全套资料，并同步进场开展虫害常态化防控服务。</w:t>
      </w:r>
    </w:p>
    <w:p>
      <w:pPr>
        <w:keepNext w:val="0"/>
        <w:keepLines w:val="0"/>
        <w:pageBreakBefore w:val="0"/>
        <w:kinsoku/>
        <w:wordWrap/>
        <w:overflowPunct/>
        <w:topLinePunct w:val="0"/>
        <w:autoSpaceDE/>
        <w:autoSpaceDN/>
        <w:bidi w:val="0"/>
        <w:adjustRightInd/>
        <w:snapToGrid/>
        <w:spacing w:line="336" w:lineRule="auto"/>
        <w:ind w:firstLine="640" w:firstLineChars="200"/>
        <w:rPr>
          <w:rFonts w:hint="eastAsia" w:ascii="仿宋_GB2312" w:hAnsi="微软雅黑" w:eastAsia="仿宋_GB2312" w:cs="微软雅黑"/>
          <w:color w:val="000000" w:themeColor="text1"/>
          <w:kern w:val="0"/>
          <w:sz w:val="32"/>
          <w:szCs w:val="32"/>
          <w14:textFill>
            <w14:solidFill>
              <w14:schemeClr w14:val="tx1"/>
            </w14:solidFill>
          </w14:textFill>
        </w:rPr>
      </w:pPr>
      <w:r>
        <w:rPr>
          <w:rFonts w:hint="eastAsia" w:ascii="仿宋_GB2312" w:hAnsi="微软雅黑" w:eastAsia="仿宋_GB2312" w:cs="微软雅黑"/>
          <w:color w:val="000000" w:themeColor="text1"/>
          <w:kern w:val="0"/>
          <w:sz w:val="32"/>
          <w:szCs w:val="32"/>
          <w:lang w:eastAsia="zh-CN"/>
          <w14:textFill>
            <w14:solidFill>
              <w14:schemeClr w14:val="tx1"/>
            </w14:solidFill>
          </w14:textFill>
        </w:rPr>
        <w:t>（</w:t>
      </w:r>
      <w:r>
        <w:rPr>
          <w:rFonts w:hint="eastAsia" w:ascii="仿宋_GB2312" w:hAnsi="微软雅黑" w:eastAsia="仿宋_GB2312" w:cs="微软雅黑"/>
          <w:color w:val="000000" w:themeColor="text1"/>
          <w:kern w:val="0"/>
          <w:sz w:val="32"/>
          <w:szCs w:val="32"/>
          <w:lang w:val="en-US" w:eastAsia="zh-CN"/>
          <w14:textFill>
            <w14:solidFill>
              <w14:schemeClr w14:val="tx1"/>
            </w14:solidFill>
          </w14:textFill>
        </w:rPr>
        <w:t>六</w:t>
      </w:r>
      <w:r>
        <w:rPr>
          <w:rFonts w:hint="eastAsia" w:ascii="仿宋_GB2312" w:hAnsi="微软雅黑" w:eastAsia="仿宋_GB2312" w:cs="微软雅黑"/>
          <w:color w:val="000000" w:themeColor="text1"/>
          <w:kern w:val="0"/>
          <w:sz w:val="32"/>
          <w:szCs w:val="32"/>
          <w:lang w:eastAsia="zh-CN"/>
          <w14:textFill>
            <w14:solidFill>
              <w14:schemeClr w14:val="tx1"/>
            </w14:solidFill>
          </w14:textFill>
        </w:rPr>
        <w:t>）</w:t>
      </w:r>
      <w:r>
        <w:rPr>
          <w:rFonts w:hint="eastAsia" w:ascii="仿宋_GB2312" w:hAnsi="微软雅黑" w:eastAsia="仿宋_GB2312" w:cs="微软雅黑"/>
          <w:color w:val="000000" w:themeColor="text1"/>
          <w:kern w:val="0"/>
          <w:sz w:val="32"/>
          <w:szCs w:val="32"/>
          <w14:textFill>
            <w14:solidFill>
              <w14:schemeClr w14:val="tx1"/>
            </w14:solidFill>
          </w14:textFill>
        </w:rPr>
        <w:t>付款方式</w:t>
      </w:r>
    </w:p>
    <w:p>
      <w:pPr>
        <w:ind w:firstLine="640" w:firstLineChars="200"/>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浦东、虹桥两个厂区服务费用分开独立结算，采用按月结算模式；每月前 10 个工作日内，我司完成服务商上月两场《虫害防治工作月检查表》考核评分，依据考核得分核算上月虫害服务费用；服务商申请付款前，须向采购人提交书面付款通知，并开具等额合规增值税专用发票；我司完成票据、服务考核记录审核验证无误后，90 个工作日内完成款项支付。</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640" w:firstLineChars="200"/>
        <w:jc w:val="both"/>
        <w:textAlignment w:val="auto"/>
        <w:outlineLvl w:val="9"/>
        <w:rPr>
          <w:rFonts w:hint="default" w:ascii="仿宋_GB2312" w:hAnsi="仿宋_GB2312" w:eastAsia="仿宋_GB2312" w:cs="仿宋_GB2312"/>
          <w:color w:val="auto"/>
          <w:kern w:val="0"/>
          <w:sz w:val="32"/>
          <w:szCs w:val="32"/>
          <w:lang w:val="en-US" w:eastAsia="zh-CN"/>
        </w:rPr>
      </w:pPr>
      <w:bookmarkStart w:id="1" w:name="_GoBack"/>
      <w:bookmarkEnd w:id="1"/>
      <w:r>
        <w:rPr>
          <w:rFonts w:hint="eastAsia" w:ascii="黑体" w:hAnsi="黑体" w:eastAsia="黑体" w:cs="黑体"/>
          <w:b w:val="0"/>
          <w:bCs w:val="0"/>
          <w:color w:val="auto"/>
          <w:kern w:val="0"/>
          <w:sz w:val="32"/>
          <w:szCs w:val="32"/>
          <w:lang w:val="en-US" w:eastAsia="zh-CN"/>
        </w:rPr>
        <w:t>二</w:t>
      </w:r>
      <w:r>
        <w:rPr>
          <w:rFonts w:hint="eastAsia" w:ascii="黑体" w:hAnsi="黑体" w:eastAsia="黑体" w:cs="黑体"/>
          <w:b w:val="0"/>
          <w:bCs w:val="0"/>
          <w:color w:val="auto"/>
          <w:kern w:val="0"/>
          <w:sz w:val="32"/>
          <w:szCs w:val="32"/>
        </w:rPr>
        <w:t>、</w:t>
      </w:r>
      <w:r>
        <w:rPr>
          <w:rFonts w:hint="eastAsia" w:ascii="黑体" w:hAnsi="黑体" w:eastAsia="黑体" w:cs="黑体"/>
          <w:b w:val="0"/>
          <w:bCs w:val="0"/>
          <w:color w:val="auto"/>
          <w:kern w:val="0"/>
          <w:sz w:val="32"/>
          <w:szCs w:val="32"/>
          <w:lang w:val="en-US" w:eastAsia="zh-CN"/>
        </w:rPr>
        <w:t>服务范围</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640" w:firstLineChars="200"/>
        <w:jc w:val="left"/>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本项目虫害控制服务范围包括但不限于公司建筑内环境、建筑外环境、生产区域、运营区域、办公区域、仓储区域、垃圾房、地下室、电梯等，具体划分如下：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640" w:firstLineChars="200"/>
        <w:rPr>
          <w:rFonts w:hint="eastAsia" w:ascii="仿宋_GB2312" w:hAnsi="仿宋_GB2312" w:eastAsia="仿宋_GB2312" w:cs="仿宋_GB2312"/>
          <w:b w:val="0"/>
          <w:color w:val="auto"/>
          <w:kern w:val="0"/>
          <w:sz w:val="32"/>
          <w:szCs w:val="32"/>
          <w:lang w:val="en-US" w:eastAsia="zh-CN" w:bidi="ar-SA"/>
        </w:rPr>
      </w:pPr>
      <w:r>
        <w:rPr>
          <w:rFonts w:hint="eastAsia" w:ascii="仿宋_GB2312" w:hAnsi="仿宋_GB2312" w:eastAsia="仿宋_GB2312" w:cs="仿宋_GB2312"/>
          <w:b w:val="0"/>
          <w:color w:val="auto"/>
          <w:kern w:val="0"/>
          <w:sz w:val="32"/>
          <w:szCs w:val="32"/>
          <w:lang w:val="en-US" w:eastAsia="zh-CN" w:bidi="ar-SA"/>
        </w:rPr>
        <w:t>（一）建筑物内部服务范围</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640" w:firstLineChars="200"/>
        <w:jc w:val="both"/>
        <w:textAlignment w:val="auto"/>
        <w:outlineLvl w:val="9"/>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1.运营区域：包括收货区域、出港区域、出港冷库、仓储区域、机供品配备间、机供品仓库、高架仓库/海关仓库、冷冻冷藏库、外航仓储区域、清洗间、餐具间、调度室、车队休息室、消防控制室、消防水泵房、门卫室、制冰间、洗衣房、回收区域、垃圾房、地下室、厂区内走廊等需要防虫害的区域。</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640" w:firstLineChars="200"/>
        <w:jc w:val="both"/>
        <w:textAlignment w:val="auto"/>
        <w:outlineLvl w:val="9"/>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2.生产区域（核心区）：清洗间、蔬菜水果清洗和加工区、海鲜加工区、肉类加工区、冷厨房、蛋糕房、面包房、热厨房烹饪间、热摆间、总摆间、清真厨房间、清真摆盘间、开罐间、制冰间、风淋房、日耗库、原料储存间、保洁房间、二次更衣区域、冷库、厂区内走廊等需要防虫害的区域。</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640" w:firstLineChars="200"/>
        <w:jc w:val="both"/>
        <w:textAlignment w:val="auto"/>
        <w:outlineLvl w:val="9"/>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3.行政区域：各部门办公室、会议室、试餐间、实验室、工会活动室、设备维修间、更衣室、浴室、员工食堂、茶水间、各个区域卫生间、电梯、楼梯、走道等需要防虫害的区域。</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640" w:firstLineChars="200"/>
        <w:jc w:val="both"/>
        <w:textAlignment w:val="auto"/>
        <w:outlineLvl w:val="9"/>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(二）建筑物外部服务范围</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640" w:firstLineChars="200"/>
        <w:jc w:val="both"/>
        <w:textAlignment w:val="auto"/>
        <w:outlineLvl w:val="9"/>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公司楼顶平台、设备部仓库、配电间、进出港平台、停车场、车棚、道路、花基绿地、道路、排水沟等。</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640" w:firstLineChars="200"/>
        <w:jc w:val="both"/>
        <w:textAlignment w:val="auto"/>
        <w:outlineLvl w:val="9"/>
        <w:rPr>
          <w:rFonts w:hint="eastAsia" w:ascii="黑体" w:hAnsi="黑体" w:eastAsia="黑体" w:cs="黑体"/>
          <w:b w:val="0"/>
          <w:bCs w:val="0"/>
          <w:color w:val="auto"/>
          <w:kern w:val="0"/>
          <w:sz w:val="32"/>
          <w:szCs w:val="32"/>
          <w:lang w:val="en-US" w:eastAsia="zh-CN"/>
        </w:rPr>
      </w:pPr>
      <w:bookmarkStart w:id="0" w:name="_Hlk56421909"/>
      <w:r>
        <w:rPr>
          <w:rFonts w:hint="eastAsia" w:ascii="黑体" w:hAnsi="黑体" w:eastAsia="黑体" w:cs="黑体"/>
          <w:b w:val="0"/>
          <w:bCs w:val="0"/>
          <w:color w:val="auto"/>
          <w:kern w:val="0"/>
          <w:sz w:val="32"/>
          <w:szCs w:val="32"/>
          <w:lang w:val="en-US" w:eastAsia="zh-CN"/>
        </w:rPr>
        <w:t>三、虫害控制服务标准与质量要求</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640" w:firstLineChars="200"/>
        <w:jc w:val="both"/>
        <w:textAlignment w:val="auto"/>
        <w:outlineLvl w:val="9"/>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1.目标防控有害生物：老鼠、蟑螂、蚊虫、蝇类、各类飞虫及其他滋生性有害生物。</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640" w:firstLineChars="200"/>
        <w:jc w:val="both"/>
        <w:textAlignment w:val="auto"/>
        <w:outlineLvl w:val="9"/>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2.服务频次与作业时间：</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640" w:firstLineChars="200"/>
        <w:jc w:val="both"/>
        <w:textAlignment w:val="auto"/>
        <w:outlineLvl w:val="9"/>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 xml:space="preserve">（1）虫害高峰期（每年 4 月 - 10 月）：每周上门服务 2 次；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640" w:firstLineChars="200"/>
        <w:jc w:val="both"/>
        <w:textAlignment w:val="auto"/>
        <w:outlineLvl w:val="9"/>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 xml:space="preserve">（2）虫害低峰期（每年 11 月 - 次年 3 月）：每周上门服务 1 次；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640" w:firstLineChars="200"/>
        <w:jc w:val="both"/>
        <w:textAlignment w:val="auto"/>
        <w:outlineLvl w:val="9"/>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 xml:space="preserve">（3）根据厂区虫害滋生监测数据，我司可要求服务商免费增加作业频次；我司重大航空保障任务开展前，服务商须免费加派人员、增加消杀频次；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640" w:firstLineChars="200"/>
        <w:jc w:val="both"/>
        <w:textAlignment w:val="auto"/>
        <w:outlineLvl w:val="9"/>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 xml:space="preserve">（4）常规服务在日间作业，深度药物滞留喷酒统一安排夜间作业，服务商需根据我司生产排班需求调整作业时段；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640" w:firstLineChars="200"/>
        <w:jc w:val="both"/>
        <w:textAlignment w:val="auto"/>
        <w:outlineLvl w:val="9"/>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（5）地下室每季度开展 1 次封闭集中消杀；电梯轿厢、电梯井每月消杀 1 次；</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640" w:firstLineChars="200"/>
        <w:jc w:val="both"/>
        <w:textAlignment w:val="auto"/>
        <w:outlineLvl w:val="9"/>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（6）重大活动预检服务，我司接待客户参观、第三方审计、上级单位视察、民航重大保障等活动前，服务商免费对全厂区开展虫害专项预检，提前消除虫害隐患。</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640" w:firstLineChars="200"/>
        <w:jc w:val="both"/>
        <w:textAlignment w:val="auto"/>
        <w:outlineLvl w:val="9"/>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（7）滞留喷洒：虫害高峰期每周2次深度药物滞留喷酒；虫害低峰期每周1次深度药物滞留喷洒。</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640" w:firstLineChars="200"/>
        <w:jc w:val="both"/>
        <w:textAlignment w:val="auto"/>
        <w:outlineLvl w:val="9"/>
        <w:rPr>
          <w:rFonts w:hint="default"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（8）绿化带消杀：虫害高峰期外部绿化带进行每月2次的化学喷洒灭虫处理，虫害低峰期外部绿化带进行每月1次的化学喷洒灭虫处理。</w:t>
      </w:r>
      <w:r>
        <w:rPr>
          <w:rFonts w:hint="eastAsia" w:ascii="仿宋_GB2312" w:hAnsi="仿宋_GB2312" w:eastAsia="仿宋_GB2312" w:cs="仿宋_GB2312"/>
          <w:color w:val="auto"/>
          <w:kern w:val="0"/>
          <w:sz w:val="32"/>
          <w:szCs w:val="32"/>
          <w:lang w:val="en-US" w:eastAsia="zh-CN"/>
        </w:rPr>
        <w:br w:type="textWrapping"/>
      </w:r>
      <w:r>
        <w:rPr>
          <w:rFonts w:hint="eastAsia" w:ascii="仿宋_GB2312" w:hAnsi="仿宋_GB2312" w:eastAsia="仿宋_GB2312" w:cs="仿宋_GB2312"/>
          <w:color w:val="auto"/>
          <w:kern w:val="0"/>
          <w:sz w:val="32"/>
          <w:szCs w:val="32"/>
          <w:lang w:val="en-US" w:eastAsia="zh-CN"/>
        </w:rPr>
        <w:t xml:space="preserve">    （9）</w:t>
      </w:r>
      <w:r>
        <w:rPr>
          <w:rFonts w:hint="eastAsia" w:ascii="仿宋_GB2312" w:hAnsi="仿宋_GB2312" w:eastAsia="仿宋_GB2312" w:cs="仿宋_GB2312"/>
          <w:color w:val="auto"/>
          <w:kern w:val="0"/>
          <w:sz w:val="32"/>
          <w:szCs w:val="32"/>
        </w:rPr>
        <w:t>食品车</w:t>
      </w:r>
      <w:r>
        <w:rPr>
          <w:rFonts w:hint="eastAsia" w:ascii="仿宋_GB2312" w:hAnsi="仿宋_GB2312" w:eastAsia="仿宋_GB2312" w:cs="仿宋_GB2312"/>
          <w:color w:val="auto"/>
          <w:kern w:val="0"/>
          <w:sz w:val="32"/>
          <w:szCs w:val="32"/>
          <w:lang w:val="en-US" w:eastAsia="zh-CN"/>
        </w:rPr>
        <w:t>消杀：</w:t>
      </w:r>
      <w:r>
        <w:rPr>
          <w:rFonts w:hint="eastAsia" w:ascii="仿宋_GB2312" w:hAnsi="仿宋_GB2312" w:eastAsia="仿宋_GB2312" w:cs="仿宋_GB2312"/>
          <w:color w:val="auto"/>
          <w:kern w:val="0"/>
          <w:sz w:val="32"/>
          <w:szCs w:val="32"/>
        </w:rPr>
        <w:t>服务商每年对我司食品车开展6次消杀作业，落实车辆消杀管控，保障食品运输卫生安全。</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640" w:firstLineChars="200"/>
        <w:jc w:val="both"/>
        <w:textAlignment w:val="auto"/>
        <w:outlineLvl w:val="9"/>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3.服务人员配置与资质要求</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640" w:firstLineChars="200"/>
        <w:jc w:val="both"/>
        <w:textAlignment w:val="auto"/>
        <w:outlineLvl w:val="9"/>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（1）服务商至少固定配备 1 名专职对接管理人员，全程对接我司；</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640" w:firstLineChars="200"/>
        <w:jc w:val="both"/>
        <w:textAlignment w:val="auto"/>
        <w:outlineLvl w:val="9"/>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 xml:space="preserve">（2）所有现场虫害作业人员须持有食品从业人员健康合格证、虫害防制专业资格证，全部人员资质资料提前报备我司存档；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640" w:firstLineChars="200"/>
        <w:jc w:val="both"/>
        <w:textAlignment w:val="auto"/>
        <w:outlineLvl w:val="9"/>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（3）日常上门服务人员配置标准：浦东厂区单次不少于 3 人，虹桥厂区单次不少于 2 人。</w:t>
      </w:r>
      <w:r>
        <w:rPr>
          <w:rFonts w:hint="eastAsia" w:ascii="仿宋_GB2312" w:hAnsi="仿宋_GB2312" w:eastAsia="仿宋_GB2312" w:cs="仿宋_GB2312"/>
          <w:color w:val="auto"/>
          <w:kern w:val="0"/>
          <w:sz w:val="32"/>
          <w:szCs w:val="32"/>
          <w:lang w:val="en-US" w:eastAsia="zh-CN"/>
        </w:rPr>
        <w:br w:type="textWrapping"/>
      </w:r>
      <w:r>
        <w:rPr>
          <w:rFonts w:hint="eastAsia" w:ascii="仿宋_GB2312" w:hAnsi="仿宋_GB2312" w:eastAsia="仿宋_GB2312" w:cs="仿宋_GB2312"/>
          <w:color w:val="auto"/>
          <w:kern w:val="0"/>
          <w:sz w:val="32"/>
          <w:szCs w:val="32"/>
          <w:lang w:val="en-US" w:eastAsia="zh-CN"/>
        </w:rPr>
        <w:t xml:space="preserve">    （4）</w:t>
      </w:r>
      <w:r>
        <w:rPr>
          <w:rFonts w:hint="eastAsia" w:ascii="仿宋_GB2312" w:hAnsi="仿宋_GB2312" w:eastAsia="仿宋_GB2312" w:cs="仿宋_GB2312"/>
          <w:color w:val="auto"/>
          <w:kern w:val="0"/>
          <w:sz w:val="32"/>
          <w:szCs w:val="32"/>
        </w:rPr>
        <w:t>质量核查机制</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服务商技术管理人员</w:t>
      </w:r>
      <w:r>
        <w:rPr>
          <w:rFonts w:hint="eastAsia" w:ascii="仿宋_GB2312" w:hAnsi="仿宋_GB2312" w:eastAsia="仿宋_GB2312" w:cs="仿宋_GB2312"/>
          <w:color w:val="auto"/>
          <w:kern w:val="0"/>
          <w:sz w:val="32"/>
          <w:szCs w:val="32"/>
        </w:rPr>
        <w:t xml:space="preserve">：每月不少于 </w:t>
      </w:r>
      <w:r>
        <w:rPr>
          <w:rFonts w:hint="eastAsia" w:ascii="仿宋_GB2312" w:hAnsi="仿宋_GB2312" w:eastAsia="仿宋_GB2312" w:cs="仿宋_GB2312"/>
          <w:color w:val="auto"/>
          <w:kern w:val="0"/>
          <w:sz w:val="32"/>
          <w:szCs w:val="32"/>
          <w:lang w:val="en-US" w:eastAsia="zh-CN"/>
        </w:rPr>
        <w:t>1</w:t>
      </w:r>
      <w:r>
        <w:rPr>
          <w:rFonts w:hint="eastAsia" w:ascii="仿宋_GB2312" w:hAnsi="仿宋_GB2312" w:eastAsia="仿宋_GB2312" w:cs="仿宋_GB2312"/>
          <w:color w:val="auto"/>
          <w:kern w:val="0"/>
          <w:sz w:val="32"/>
          <w:szCs w:val="32"/>
        </w:rPr>
        <w:t xml:space="preserve"> 次的现场技术质量督查</w:t>
      </w:r>
      <w:r>
        <w:rPr>
          <w:rFonts w:hint="eastAsia" w:ascii="仿宋_GB2312" w:hAnsi="仿宋_GB2312" w:eastAsia="仿宋_GB2312" w:cs="仿宋_GB2312"/>
          <w:color w:val="auto"/>
          <w:kern w:val="0"/>
          <w:sz w:val="32"/>
          <w:szCs w:val="32"/>
          <w:lang w:val="en-US" w:eastAsia="zh-CN"/>
        </w:rPr>
        <w:t>和</w:t>
      </w:r>
      <w:r>
        <w:rPr>
          <w:rFonts w:hint="eastAsia" w:ascii="仿宋_GB2312" w:hAnsi="仿宋_GB2312" w:eastAsia="仿宋_GB2312" w:cs="仿宋_GB2312"/>
          <w:color w:val="auto"/>
          <w:kern w:val="0"/>
          <w:sz w:val="32"/>
          <w:szCs w:val="32"/>
        </w:rPr>
        <w:t>现场跟队服务，对于现场发现的问题及时告知服务团队，并在改善后的2周内进行复查</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确保所有核查点位得到全面 改善与措施落地。</w:t>
      </w:r>
      <w:r>
        <w:rPr>
          <w:rFonts w:ascii="宋体" w:hAnsi="宋体" w:eastAsia="宋体" w:cs="宋体"/>
          <w:sz w:val="24"/>
          <w:szCs w:val="24"/>
        </w:rPr>
        <w:br w:type="textWrapping"/>
      </w:r>
      <w:r>
        <w:rPr>
          <w:rFonts w:hint="eastAsia" w:ascii="宋体" w:hAnsi="宋体" w:eastAsia="宋体" w:cs="宋体"/>
          <w:sz w:val="24"/>
          <w:szCs w:val="24"/>
          <w:lang w:val="en-US" w:eastAsia="zh-CN"/>
        </w:rPr>
        <w:t xml:space="preserve">     </w:t>
      </w:r>
      <w:r>
        <w:rPr>
          <w:rFonts w:hint="eastAsia" w:ascii="仿宋_GB2312" w:hAnsi="仿宋_GB2312" w:eastAsia="仿宋_GB2312" w:cs="仿宋_GB2312"/>
          <w:color w:val="auto"/>
          <w:kern w:val="0"/>
          <w:sz w:val="32"/>
          <w:szCs w:val="32"/>
          <w:lang w:val="en-US" w:eastAsia="zh-CN"/>
        </w:rPr>
        <w:t>4.月度服务计划报送：服务商每月15日前，向我司提交完整下月虫害服务计划。</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640" w:firstLineChars="200"/>
        <w:jc w:val="both"/>
        <w:textAlignment w:val="auto"/>
        <w:outlineLvl w:val="9"/>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5.单次作业记录管理：每次现场消杀、设施巡检作业完成后，出具标准化工作服务报告和各类虫害设施检查记录表，经我司工作人员签字确认留存；单次作业记录必须载明：服务项目、现场作业内容、作业日期、防制处理方法/采取措施、使用药剂名称、药剂用量及配比浓度、施药地点、目标虫害、各类虫害设施检查/更换记录、现场作业人员签字；针对高虫害点位、虫害复发区域，同步制定专项跟踪治理计划；针对作业记录及巡检发现的虫害风险问题，完整记录对应整改处置措施。</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640" w:firstLineChars="200"/>
        <w:jc w:val="both"/>
        <w:textAlignment w:val="auto"/>
        <w:outlineLvl w:val="9"/>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6.月度、年度防制汇总分析报告：服务商每月、全年服务周期结束后，向我司提交完整防制服务汇总及数据分析报告，报告内容包含：虫害防制服务总结（服务频次及内容汇总）、各类虫害捕获数量数据趋势统计分析和举措、虫害设施设备状况、应急处置及客户投诉处理台账、现场排查虫害风险点位和专业整改优化建议及跟进情况、下一周期虫害防控重点工作计划。</w:t>
      </w:r>
    </w:p>
    <w:p>
      <w:pPr>
        <w:pStyle w:val="11"/>
        <w:jc w:val="left"/>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7.药剂合规管理：</w:t>
      </w:r>
      <w:r>
        <w:rPr>
          <w:rFonts w:hint="eastAsia" w:ascii="仿宋_GB2312" w:hAnsi="仿宋_GB2312" w:eastAsia="仿宋_GB2312" w:cs="仿宋_GB2312"/>
          <w:color w:val="auto"/>
          <w:kern w:val="0"/>
          <w:sz w:val="32"/>
          <w:szCs w:val="32"/>
          <w:lang w:val="en-US" w:eastAsia="zh-CN"/>
        </w:rPr>
        <w:t>服务商</w:t>
      </w:r>
      <w:r>
        <w:rPr>
          <w:rFonts w:hint="eastAsia" w:ascii="仿宋_GB2312" w:hAnsi="仿宋_GB2312" w:eastAsia="仿宋_GB2312" w:cs="仿宋_GB2312"/>
          <w:color w:val="auto"/>
          <w:kern w:val="0"/>
          <w:sz w:val="32"/>
          <w:szCs w:val="32"/>
          <w:lang w:val="en-US" w:eastAsia="zh-CN" w:bidi="ar-SA"/>
        </w:rPr>
        <w:t>投入项目的药物有药剂清单、“三证”齐全（产品安全数据卡MSDS、药剂标签、农药登记证）；所有药剂在有效使用期限内；使用的药物需满足服务区域范围内不同环境、不同种类有害生物防制，禁止使用国家明令禁止药物，任何违规、不当使用化学品导致人身、财产损伤，均由供应商承担全部责任。</w:t>
      </w:r>
    </w:p>
    <w:p>
      <w:pPr>
        <w:pStyle w:val="11"/>
        <w:jc w:val="left"/>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8.服务商应结合各区域现场实际状况与防控需求，经科学风险评估后，提供整体虫害防控方案、月度虫害防治工作计划和各类虫害防制实施方案。</w:t>
      </w:r>
    </w:p>
    <w:p>
      <w:pPr>
        <w:pStyle w:val="11"/>
        <w:jc w:val="left"/>
        <w:rPr>
          <w:rFonts w:hint="default"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9.服务商须每季度完成两场厂区全域无死角虫害隐患全覆盖排查，并按期提交图文排查报告、落实隐患闭环整改。</w:t>
      </w:r>
    </w:p>
    <w:p>
      <w:pPr>
        <w:pStyle w:val="11"/>
        <w:jc w:val="left"/>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10.虫害防控设施设备要求：</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640" w:firstLineChars="200"/>
        <w:jc w:val="left"/>
        <w:rPr>
          <w:rFonts w:hint="default"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rPr>
        <w:t>（1）</w:t>
      </w:r>
      <w:r>
        <w:rPr>
          <w:rFonts w:hint="eastAsia" w:ascii="仿宋_GB2312" w:hAnsi="仿宋_GB2312" w:eastAsia="仿宋_GB2312" w:cs="仿宋_GB2312"/>
          <w:color w:val="auto"/>
          <w:kern w:val="0"/>
          <w:sz w:val="32"/>
          <w:szCs w:val="32"/>
          <w:lang w:val="en-US" w:eastAsia="zh-CN" w:bidi="ar-SA"/>
        </w:rPr>
        <w:t>服务商应结合各区域现场实际状况与防控需求，经科学风险评估后，服务商须设计准确绘制两场服务作业场所的虫害防控平面布置图，并实施动态更新，需明确标注捕鼠器、粘鼠板、灭蝇灯、捕蝇笼、室外诱饵投放点、生化信息素捕杀装置等全部物理虫害防控设施的配置数量及布设位置。全部虫害防控设施设备由服务商提供并负责安装实施，虫害防控设施安装实施需符合航食要求，承担定期服务及维护工作（含配套虫控耗材）；须对厂区内、外虫害防控设施的运行状态、洁净程度及防控效果开展评估，发现不符合防控要求的，应立即落实纠正处置。</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640" w:firstLineChars="200"/>
        <w:jc w:val="left"/>
        <w:rPr>
          <w:color w:val="000000"/>
          <w:sz w:val="24"/>
          <w:szCs w:val="24"/>
        </w:rPr>
      </w:pPr>
      <w:r>
        <w:rPr>
          <w:rFonts w:hint="eastAsia" w:ascii="仿宋_GB2312" w:hAnsi="仿宋_GB2312" w:eastAsia="仿宋_GB2312" w:cs="仿宋_GB2312"/>
          <w:color w:val="auto"/>
          <w:kern w:val="0"/>
          <w:sz w:val="32"/>
          <w:szCs w:val="32"/>
          <w:highlight w:val="none"/>
          <w:lang w:val="en-US" w:eastAsia="zh-CN"/>
        </w:rPr>
        <w:t>（2）</w:t>
      </w:r>
      <w:r>
        <w:rPr>
          <w:rFonts w:hint="eastAsia" w:ascii="仿宋_GB2312" w:hAnsi="仿宋_GB2312" w:eastAsia="仿宋_GB2312" w:cs="仿宋_GB2312"/>
          <w:color w:val="auto"/>
          <w:kern w:val="0"/>
          <w:sz w:val="32"/>
          <w:szCs w:val="32"/>
          <w:lang w:val="en-US" w:eastAsia="zh-CN" w:bidi="ar-SA"/>
        </w:rPr>
        <w:t>虫害防控设施标识管理要求：所有鼠饵站、捕鼠器、粘鼠板、灭蝇灯等虫害防控设施应设置规范标识，设施编号、布设位置须与平面布置图保持一致；每个设施点位标识至少载明器械名称、设施编号、设置日期、检查日期、虫害服务人员检查及更换签字，相关记录应与作业服务记录相互对应。</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640" w:firstLineChars="200"/>
        <w:jc w:val="left"/>
        <w:rPr>
          <w:color w:val="000000"/>
          <w:sz w:val="24"/>
          <w:szCs w:val="24"/>
        </w:rPr>
      </w:pPr>
      <w:r>
        <w:rPr>
          <w:rFonts w:hint="eastAsia" w:ascii="仿宋_GB2312" w:hAnsi="仿宋_GB2312" w:eastAsia="仿宋_GB2312" w:cs="仿宋_GB2312"/>
          <w:color w:val="auto"/>
          <w:kern w:val="0"/>
          <w:sz w:val="32"/>
          <w:szCs w:val="32"/>
          <w:lang w:val="en-US" w:eastAsia="zh-CN" w:bidi="ar-SA"/>
        </w:rPr>
        <w:t>（3）虫害防控设施最低配置数量要求</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640" w:firstLineChars="200"/>
        <w:jc w:val="left"/>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1.浦东作业点：粘捕式灭蝇灯≥78 台，鼠饵站≥30 个，粘鼠板≥68 个，捕蝇笼≥20 个；</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640" w:firstLineChars="200"/>
        <w:jc w:val="left"/>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2.虹桥作业点：粘捕式灭蝇灯≥40 台，鼠饵站≥25 个，粘鼠板≥40 个，捕蝇笼≥3 个。</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640" w:firstLineChars="200"/>
        <w:jc w:val="left"/>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4）若现场需新增、替换、调整虫害防控设施，由服务商提供对应设施并负责完成灭蝇灯、捕鼠器、鼠饵站等设备的安装作业；虫害防控设施出现故障、变形、标识模糊、失效无法正常使用的，服务商须对故障的灭蝇灯、捕鼠器、鼠饵站等设施开展维修或更换；设施出现脏污情况时，服务商须完成清洁处理。</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640" w:firstLineChars="200"/>
        <w:jc w:val="left"/>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（5）当虫害防控设施设备配置数量无法满足我司客户、上级单位或监管部门相关规定要求时，服务商须免费增补对应虫害防控设施设备，以满足我司客户、上级公司或监管部门的要求。</w:t>
      </w:r>
    </w:p>
    <w:p>
      <w:pPr>
        <w:keepNext w:val="0"/>
        <w:keepLines w:val="0"/>
        <w:widowControl w:val="0"/>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640" w:firstLineChars="200"/>
        <w:jc w:val="both"/>
        <w:outlineLvl w:val="9"/>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（6）各类虫害防控设施的检查、维护、更换、清洁作业频次不得低于每周 1 次；其中粘捕式灭蝇灯粘纸</w:t>
      </w:r>
      <w:r>
        <w:rPr>
          <w:rFonts w:hint="eastAsia" w:ascii="仿宋_GB2312" w:hAnsi="仿宋_GB2312" w:eastAsia="仿宋_GB2312" w:cs="仿宋_GB2312"/>
          <w:color w:val="auto"/>
          <w:kern w:val="0"/>
          <w:sz w:val="32"/>
          <w:szCs w:val="32"/>
          <w:lang w:val="en-US" w:eastAsia="zh-CN"/>
        </w:rPr>
        <w:t>虫害高峰期每周2次检查更换；虫害低峰期每周1次检查更换。</w:t>
      </w:r>
      <w:r>
        <w:rPr>
          <w:rFonts w:hint="eastAsia" w:ascii="仿宋_GB2312" w:hAnsi="仿宋_GB2312" w:eastAsia="仿宋_GB2312" w:cs="仿宋_GB2312"/>
          <w:color w:val="auto"/>
          <w:kern w:val="0"/>
          <w:sz w:val="32"/>
          <w:szCs w:val="32"/>
          <w:lang w:val="en-US" w:eastAsia="zh-CN" w:bidi="ar-SA"/>
        </w:rPr>
        <w:br w:type="textWrapping"/>
      </w:r>
      <w:r>
        <w:rPr>
          <w:rFonts w:hint="eastAsia" w:ascii="仿宋_GB2312" w:hAnsi="仿宋_GB2312" w:eastAsia="仿宋_GB2312" w:cs="仿宋_GB2312"/>
          <w:color w:val="auto"/>
          <w:kern w:val="0"/>
          <w:sz w:val="32"/>
          <w:szCs w:val="32"/>
          <w:lang w:val="en-US" w:eastAsia="zh-CN" w:bidi="ar-SA"/>
        </w:rPr>
        <w:t xml:space="preserve">    （7）全部消杀药剂及器材由服务商统一保管，不得存放于我司厂区范围内；每年4月份需对所有粘捕式灭蝇灯进行更换灯管，更换下来的废灯管由服务商带回做合规处置。</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640" w:firstLineChars="200"/>
        <w:jc w:val="left"/>
        <w:rPr>
          <w:color w:val="000000"/>
          <w:sz w:val="24"/>
          <w:szCs w:val="24"/>
        </w:rPr>
      </w:pPr>
      <w:r>
        <w:rPr>
          <w:rFonts w:hint="eastAsia" w:ascii="仿宋_GB2312" w:hAnsi="仿宋_GB2312" w:eastAsia="仿宋_GB2312" w:cs="仿宋_GB2312"/>
          <w:color w:val="auto"/>
          <w:kern w:val="0"/>
          <w:sz w:val="32"/>
          <w:szCs w:val="32"/>
          <w:lang w:val="en-US" w:eastAsia="zh-CN" w:bidi="ar-SA"/>
        </w:rPr>
        <w:t>（8）虫害防治服务周期内，虫害防控所涉及全部药剂、耗材、设施设备（包括但不限于灭蝇灯、捕鼠器、鼠饵站、粘鼠板、粘捕纸、杀虫药剂、</w:t>
      </w:r>
      <w:r>
        <w:rPr>
          <w:rFonts w:hint="eastAsia" w:ascii="仿宋_GB2312" w:hAnsi="仿宋_GB2312" w:eastAsia="仿宋_GB2312" w:cs="仿宋_GB2312"/>
          <w:color w:val="auto"/>
          <w:kern w:val="0"/>
          <w:sz w:val="32"/>
          <w:szCs w:val="32"/>
          <w:lang w:val="en-US" w:eastAsia="zh-CN"/>
        </w:rPr>
        <w:t>蟑螂屋</w:t>
      </w:r>
      <w:r>
        <w:rPr>
          <w:rFonts w:hint="eastAsia" w:ascii="仿宋_GB2312" w:hAnsi="仿宋_GB2312" w:eastAsia="仿宋_GB2312" w:cs="仿宋_GB2312"/>
          <w:color w:val="auto"/>
          <w:kern w:val="0"/>
          <w:sz w:val="32"/>
          <w:szCs w:val="32"/>
          <w:lang w:val="en-US" w:eastAsia="zh-CN" w:bidi="ar-SA"/>
        </w:rPr>
        <w:t>等）均由服务商负责供应。服务商还需向我司垃圾房免费提供消杀药剂，供我司开展垃圾房每日消杀作业，实现虫害管控。</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640" w:firstLineChars="200"/>
        <w:jc w:val="left"/>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11.消杀管控：</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640" w:firstLineChars="200"/>
        <w:jc w:val="left"/>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（1）采用物理、化学或生物制剂控制虫害时，不得污染食品、不得破坏食品原有品质，严禁污染食品接触面、生产设备、工器具、食品包装材料；</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640" w:firstLineChars="200"/>
        <w:jc w:val="left"/>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（2）食品加工区域内禁止直接朝向食品、餐具容器喷射杀虫药剂，确需在加工区喷雾作业时，服务商须提前告知我司完成现场全部食品、餐具、容器转移隔离；</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640" w:firstLineChars="200"/>
        <w:jc w:val="left"/>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（3）使用各类杀虫剂或其他药剂前,应做好预防措施避免对人身、食品、设备工具造成污染。如不慎污染,服务商应及时处理,彻底清洁,消除污染。</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640" w:firstLineChars="200"/>
        <w:jc w:val="left"/>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（4）虫害消杀作业结束后,服务商应及时清理虫害尸体（确保现场虫害尸体全部清理且打扫干净）、消杀用具和药剂等。</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640" w:firstLineChars="200"/>
        <w:jc w:val="left"/>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5）每次消杀服务开展时，须对厂区角落、设备底部及内部等隐蔽区域开展全面虫害隐患排查；针对设备底部、内部缝隙等不接触食品区域，须实施滞留喷洒作业及配套虫害防控措施；对于可拆解设备，需配合我司综保部完成设备拆机作业后，开展消杀处理；针对操作台车轮、灭火器箱内部、各类缝隙等不宜直接喷洒药剂的敏感区域，采用点胶灭蟑及其他适配虫害控制手段实施处理；飞虫防控方面，同步开展室外孳生地治理及室内飞虫防控相关作业。</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640" w:firstLineChars="200"/>
        <w:jc w:val="left"/>
        <w:rPr>
          <w:rFonts w:hint="default"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12.虫害突发事件应急预案与应急处置：服务商编制完整厂区虫害突发事件专项应急预案，报送我司审核备案；厂区发生虫害集中爆发、突发虫害险情启动应急服务时，服务商接到我司通知起 2小时内作业人员抵达现场并进行处理；若出现虫害防控效果不达标、虫害相关投诉、区域性虫害集中泛滥等情况，服务商须无条件免费开展专项强化消杀和合理增加上门服务频次，持续跟踪治理至虫害密度达标，不得额外收取服务费、药剂耗材费。因虫害防控效果不达标引发有效投诉造成我司被追责罚款，由服务商承担所有责任。</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640" w:firstLineChars="200"/>
        <w:jc w:val="left"/>
        <w:rPr>
          <w:rFonts w:hint="default"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13.服务商人员管理要求</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640" w:firstLineChars="200"/>
        <w:jc w:val="left"/>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（1）服务商作业人员在服务期间，若发生私自食用、损毁、偷盗我司食品、资产及物品等行为，或因作业操作不当造成我司设备、财产损毁的，由服务商承担维修责任或按照我司核定价格予以赔偿。</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640" w:firstLineChars="200"/>
        <w:jc w:val="left"/>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（2）服务商人员的工作鞋、工作服等由服务商公司负责发放和配备。服务商人员餐食自理，如需要我司安排就餐则按我司标定价格结算。</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640" w:firstLineChars="200"/>
        <w:jc w:val="left"/>
        <w:rPr>
          <w:rFonts w:hint="default"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（3）服务商人员进入我司生产区域，须严格遵守我司管理规定，规范穿戴一次性防护服、飘带帽、发网、口罩，落实洗手消毒等个人卫生管控要求。</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640" w:firstLineChars="200"/>
        <w:jc w:val="left"/>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（4）若服务商人员违反我司各项管理制度，我司有权禁止该违规人员进入厂区。服务商人员发生更换的，须提前告知我司，经我司同意后方可实施人员更替。</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640" w:firstLineChars="200"/>
        <w:jc w:val="left"/>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（5）服务商人员在我司厂区作业期间发生的工伤事故，全部责任由服务商自行承担。</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kern w:val="0"/>
          <w:sz w:val="32"/>
          <w:szCs w:val="32"/>
          <w:highlight w:val="none"/>
          <w:lang w:val="en-US" w:eastAsia="zh-CN"/>
        </w:rPr>
        <w:t>14.若有</w:t>
      </w:r>
      <w:r>
        <w:rPr>
          <w:rFonts w:hint="eastAsia" w:ascii="仿宋_GB2312" w:hAnsi="仿宋_GB2312" w:eastAsia="仿宋_GB2312" w:cs="仿宋_GB2312"/>
          <w:color w:val="auto"/>
          <w:sz w:val="32"/>
          <w:szCs w:val="32"/>
          <w:lang w:val="en-US" w:eastAsia="zh-CN"/>
        </w:rPr>
        <w:t>海关颁发的出入境检疫处理单位核准证书和上海市健康促进协会颁发的《上海市有害生物防治服务机构资质证书》五星级，则优先考虑。</w:t>
      </w:r>
    </w:p>
    <w:bookmarkEnd w:id="0"/>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黑体" w:hAnsi="黑体" w:eastAsia="黑体" w:cs="黑体"/>
          <w:b w:val="0"/>
          <w:bCs w:val="0"/>
          <w:color w:val="auto"/>
          <w:kern w:val="0"/>
          <w:sz w:val="32"/>
          <w:szCs w:val="32"/>
          <w:lang w:val="en-US" w:eastAsia="zh-CN"/>
        </w:rPr>
        <w:t>四</w:t>
      </w:r>
      <w:r>
        <w:rPr>
          <w:rFonts w:hint="eastAsia" w:ascii="黑体" w:hAnsi="黑体" w:eastAsia="黑体" w:cs="黑体"/>
          <w:b w:val="0"/>
          <w:bCs w:val="0"/>
          <w:color w:val="auto"/>
          <w:kern w:val="0"/>
          <w:sz w:val="32"/>
          <w:szCs w:val="32"/>
        </w:rPr>
        <w:t>、供应商资质要求</w:t>
      </w:r>
    </w:p>
    <w:p>
      <w:pPr>
        <w:keepNext w:val="0"/>
        <w:keepLines w:val="0"/>
        <w:pageBreakBefore w:val="0"/>
        <w:widowControl w:val="0"/>
        <w:kinsoku/>
        <w:wordWrap/>
        <w:overflowPunct/>
        <w:topLinePunct w:val="0"/>
        <w:autoSpaceDE/>
        <w:autoSpaceDN/>
        <w:bidi w:val="0"/>
        <w:adjustRightInd/>
        <w:snapToGrid/>
        <w:spacing w:line="360" w:lineRule="auto"/>
        <w:ind w:right="0" w:rightChars="0"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一）营业执照的营业范围：害虫的防治服务/病媒生物防制服务/病虫害防治领域内的技术开发、技术转让、技术咨询、技术服务等与本项目相关的营业范围；</w:t>
      </w:r>
    </w:p>
    <w:p>
      <w:pPr>
        <w:keepNext w:val="0"/>
        <w:keepLines w:val="0"/>
        <w:pageBreakBefore w:val="0"/>
        <w:widowControl w:val="0"/>
        <w:kinsoku/>
        <w:wordWrap/>
        <w:overflowPunct/>
        <w:topLinePunct w:val="0"/>
        <w:autoSpaceDE/>
        <w:autoSpaceDN/>
        <w:bidi w:val="0"/>
        <w:adjustRightInd/>
        <w:snapToGrid/>
        <w:spacing w:line="360" w:lineRule="auto"/>
        <w:ind w:right="0" w:rightChars="0"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（二）有害生物防制服务机构服务能力A级证书；</w:t>
      </w:r>
    </w:p>
    <w:p>
      <w:pPr>
        <w:keepNext w:val="0"/>
        <w:keepLines w:val="0"/>
        <w:pageBreakBefore w:val="0"/>
        <w:widowControl w:val="0"/>
        <w:kinsoku/>
        <w:wordWrap/>
        <w:overflowPunct/>
        <w:topLinePunct w:val="0"/>
        <w:autoSpaceDE/>
        <w:autoSpaceDN/>
        <w:bidi w:val="0"/>
        <w:adjustRightInd/>
        <w:snapToGrid/>
        <w:spacing w:line="360" w:lineRule="auto"/>
        <w:ind w:right="0" w:rightChars="0" w:firstLine="640" w:firstLineChars="200"/>
        <w:jc w:val="both"/>
        <w:textAlignment w:val="auto"/>
        <w:outlineLvl w:val="9"/>
        <w:rPr>
          <w:rFonts w:hint="eastAsia" w:ascii="仿宋_GB2312" w:hAnsi="仿宋_GB2312" w:eastAsia="仿宋_GB2312" w:cs="仿宋_GB2312"/>
          <w:color w:val="auto"/>
          <w:sz w:val="32"/>
          <w:szCs w:val="32"/>
          <w:highlight w:val="yellow"/>
          <w:lang w:val="en-US" w:eastAsia="zh-CN"/>
        </w:rPr>
      </w:pPr>
      <w:r>
        <w:rPr>
          <w:rFonts w:hint="eastAsia" w:ascii="仿宋_GB2312" w:hAnsi="仿宋_GB2312" w:eastAsia="仿宋_GB2312" w:cs="仿宋_GB2312"/>
          <w:color w:val="auto"/>
          <w:sz w:val="32"/>
          <w:szCs w:val="32"/>
          <w:lang w:val="en-US" w:eastAsia="zh-CN"/>
        </w:rPr>
        <w:t>（三）具备《上海市病媒生物预防控制服务机构备案证明》。</w:t>
      </w:r>
    </w:p>
    <w:p>
      <w:pPr>
        <w:spacing w:line="336" w:lineRule="auto"/>
        <w:ind w:firstLine="640" w:firstLineChars="200"/>
        <w:rPr>
          <w:rFonts w:hint="eastAsia" w:ascii="仿宋_GB2312" w:hAnsi="仿宋_GB2312" w:eastAsia="仿宋_GB2312" w:cs="仿宋_GB2312"/>
          <w:color w:val="auto"/>
          <w:kern w:val="0"/>
          <w:sz w:val="32"/>
          <w:szCs w:val="32"/>
        </w:rPr>
      </w:pPr>
    </w:p>
    <w:p>
      <w:pPr>
        <w:spacing w:line="336" w:lineRule="auto"/>
        <w:jc w:val="both"/>
        <w:rPr>
          <w:rFonts w:hint="eastAsia" w:ascii="仿宋_GB2312" w:hAnsi="仿宋_GB2312" w:eastAsia="仿宋_GB2312" w:cs="仿宋_GB2312"/>
          <w:color w:val="auto"/>
          <w:kern w:val="0"/>
          <w:sz w:val="32"/>
          <w:szCs w:val="32"/>
        </w:rPr>
      </w:pP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eastAsiaTheme="minorEastAsia"/>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5"/>
                      <w:rPr>
                        <w:rFonts w:hint="eastAsia" w:eastAsiaTheme="minorEastAsia"/>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72FA"/>
    <w:rsid w:val="00041E46"/>
    <w:rsid w:val="00061DD7"/>
    <w:rsid w:val="00062669"/>
    <w:rsid w:val="00073587"/>
    <w:rsid w:val="000849F7"/>
    <w:rsid w:val="000927BA"/>
    <w:rsid w:val="000A06F1"/>
    <w:rsid w:val="000B4817"/>
    <w:rsid w:val="000B5DA6"/>
    <w:rsid w:val="001348E1"/>
    <w:rsid w:val="001A3A55"/>
    <w:rsid w:val="001C5795"/>
    <w:rsid w:val="001E5D51"/>
    <w:rsid w:val="00216EAD"/>
    <w:rsid w:val="002327A9"/>
    <w:rsid w:val="002549D3"/>
    <w:rsid w:val="00264E06"/>
    <w:rsid w:val="00290CE4"/>
    <w:rsid w:val="00293141"/>
    <w:rsid w:val="002A3DB9"/>
    <w:rsid w:val="002B2046"/>
    <w:rsid w:val="002F479D"/>
    <w:rsid w:val="00313246"/>
    <w:rsid w:val="00331ED9"/>
    <w:rsid w:val="00333814"/>
    <w:rsid w:val="00352B66"/>
    <w:rsid w:val="00361D18"/>
    <w:rsid w:val="00362239"/>
    <w:rsid w:val="003673AF"/>
    <w:rsid w:val="00371A25"/>
    <w:rsid w:val="003A7CD7"/>
    <w:rsid w:val="003B13B5"/>
    <w:rsid w:val="003D1E41"/>
    <w:rsid w:val="003F3DE7"/>
    <w:rsid w:val="00406426"/>
    <w:rsid w:val="004127B1"/>
    <w:rsid w:val="0042705F"/>
    <w:rsid w:val="00430EE2"/>
    <w:rsid w:val="004A4394"/>
    <w:rsid w:val="004A4576"/>
    <w:rsid w:val="004A5B5D"/>
    <w:rsid w:val="004C423B"/>
    <w:rsid w:val="00503338"/>
    <w:rsid w:val="00512F3B"/>
    <w:rsid w:val="00532BDE"/>
    <w:rsid w:val="005709EB"/>
    <w:rsid w:val="005726C4"/>
    <w:rsid w:val="00591A7B"/>
    <w:rsid w:val="00592215"/>
    <w:rsid w:val="00594C13"/>
    <w:rsid w:val="005B08D1"/>
    <w:rsid w:val="005D438B"/>
    <w:rsid w:val="006030BF"/>
    <w:rsid w:val="00641FA0"/>
    <w:rsid w:val="00666AD4"/>
    <w:rsid w:val="00670EA5"/>
    <w:rsid w:val="00677768"/>
    <w:rsid w:val="006913D3"/>
    <w:rsid w:val="006C277E"/>
    <w:rsid w:val="006E2111"/>
    <w:rsid w:val="00701F29"/>
    <w:rsid w:val="00724476"/>
    <w:rsid w:val="00731B46"/>
    <w:rsid w:val="007542AE"/>
    <w:rsid w:val="0076414A"/>
    <w:rsid w:val="00795EBF"/>
    <w:rsid w:val="007A72FA"/>
    <w:rsid w:val="007B7033"/>
    <w:rsid w:val="007C4F2C"/>
    <w:rsid w:val="007D2619"/>
    <w:rsid w:val="00804D24"/>
    <w:rsid w:val="00812078"/>
    <w:rsid w:val="00824A4E"/>
    <w:rsid w:val="00832C7E"/>
    <w:rsid w:val="00861B98"/>
    <w:rsid w:val="008857B3"/>
    <w:rsid w:val="008A28DF"/>
    <w:rsid w:val="008C17EF"/>
    <w:rsid w:val="008D19DF"/>
    <w:rsid w:val="008F022C"/>
    <w:rsid w:val="0090411D"/>
    <w:rsid w:val="00926D62"/>
    <w:rsid w:val="00946293"/>
    <w:rsid w:val="0096359E"/>
    <w:rsid w:val="00967DEF"/>
    <w:rsid w:val="009A36FD"/>
    <w:rsid w:val="009B0260"/>
    <w:rsid w:val="009B317D"/>
    <w:rsid w:val="009C5A8C"/>
    <w:rsid w:val="00A02F4D"/>
    <w:rsid w:val="00A26EF2"/>
    <w:rsid w:val="00A86DD2"/>
    <w:rsid w:val="00AC75AD"/>
    <w:rsid w:val="00AD3581"/>
    <w:rsid w:val="00AF4A8B"/>
    <w:rsid w:val="00AF7503"/>
    <w:rsid w:val="00B051C8"/>
    <w:rsid w:val="00B21340"/>
    <w:rsid w:val="00B362F6"/>
    <w:rsid w:val="00B46326"/>
    <w:rsid w:val="00B702E2"/>
    <w:rsid w:val="00B747B2"/>
    <w:rsid w:val="00B77AAD"/>
    <w:rsid w:val="00B90626"/>
    <w:rsid w:val="00C02514"/>
    <w:rsid w:val="00C063ED"/>
    <w:rsid w:val="00C27A1D"/>
    <w:rsid w:val="00C85039"/>
    <w:rsid w:val="00CC1EA5"/>
    <w:rsid w:val="00CC535C"/>
    <w:rsid w:val="00CD2B33"/>
    <w:rsid w:val="00D00229"/>
    <w:rsid w:val="00D27291"/>
    <w:rsid w:val="00D30ACC"/>
    <w:rsid w:val="00D45D73"/>
    <w:rsid w:val="00D621C6"/>
    <w:rsid w:val="00D75171"/>
    <w:rsid w:val="00E0025A"/>
    <w:rsid w:val="00E43FE2"/>
    <w:rsid w:val="00E45445"/>
    <w:rsid w:val="00E51141"/>
    <w:rsid w:val="00E60147"/>
    <w:rsid w:val="00E95F52"/>
    <w:rsid w:val="00E96F5E"/>
    <w:rsid w:val="00EC4A37"/>
    <w:rsid w:val="00EC5B68"/>
    <w:rsid w:val="00EE2CC7"/>
    <w:rsid w:val="00F370AB"/>
    <w:rsid w:val="00F61A1A"/>
    <w:rsid w:val="00F92BBF"/>
    <w:rsid w:val="00FA6D38"/>
    <w:rsid w:val="00FA721E"/>
    <w:rsid w:val="00FF05E8"/>
    <w:rsid w:val="00FF64C7"/>
    <w:rsid w:val="00FF720B"/>
    <w:rsid w:val="02BD19AA"/>
    <w:rsid w:val="031A67DB"/>
    <w:rsid w:val="05076969"/>
    <w:rsid w:val="05F00052"/>
    <w:rsid w:val="080457BD"/>
    <w:rsid w:val="08AF759B"/>
    <w:rsid w:val="0AB8532A"/>
    <w:rsid w:val="0B3F3D0C"/>
    <w:rsid w:val="0D3243EA"/>
    <w:rsid w:val="0EF77954"/>
    <w:rsid w:val="10CC7E95"/>
    <w:rsid w:val="119F3BA8"/>
    <w:rsid w:val="11DF2F3C"/>
    <w:rsid w:val="134F0723"/>
    <w:rsid w:val="15680B7C"/>
    <w:rsid w:val="160C2A51"/>
    <w:rsid w:val="18BF0D55"/>
    <w:rsid w:val="18D130DF"/>
    <w:rsid w:val="19E44227"/>
    <w:rsid w:val="1A3D3EA0"/>
    <w:rsid w:val="1B4158C8"/>
    <w:rsid w:val="1C056F65"/>
    <w:rsid w:val="1C7C5D32"/>
    <w:rsid w:val="1CF7218E"/>
    <w:rsid w:val="1DC5738D"/>
    <w:rsid w:val="205442B5"/>
    <w:rsid w:val="208B63BD"/>
    <w:rsid w:val="232747EB"/>
    <w:rsid w:val="23A36861"/>
    <w:rsid w:val="23A822D2"/>
    <w:rsid w:val="23F80E38"/>
    <w:rsid w:val="24285096"/>
    <w:rsid w:val="253566B5"/>
    <w:rsid w:val="278B5DE0"/>
    <w:rsid w:val="27AA5D20"/>
    <w:rsid w:val="280F603D"/>
    <w:rsid w:val="28DA6F71"/>
    <w:rsid w:val="29482436"/>
    <w:rsid w:val="2BED17A3"/>
    <w:rsid w:val="2D085E61"/>
    <w:rsid w:val="2D415C99"/>
    <w:rsid w:val="2E2B1E85"/>
    <w:rsid w:val="2F1A44F5"/>
    <w:rsid w:val="2F7E3251"/>
    <w:rsid w:val="2FED3015"/>
    <w:rsid w:val="32010542"/>
    <w:rsid w:val="33021F8D"/>
    <w:rsid w:val="34764D84"/>
    <w:rsid w:val="3550151B"/>
    <w:rsid w:val="36270171"/>
    <w:rsid w:val="37244B00"/>
    <w:rsid w:val="3C9C7151"/>
    <w:rsid w:val="3F2F2B16"/>
    <w:rsid w:val="3FF16F00"/>
    <w:rsid w:val="44C958B0"/>
    <w:rsid w:val="4710179E"/>
    <w:rsid w:val="49496774"/>
    <w:rsid w:val="49830F9D"/>
    <w:rsid w:val="4AE57C36"/>
    <w:rsid w:val="4D8F24F2"/>
    <w:rsid w:val="4E7E2891"/>
    <w:rsid w:val="4E8C13BD"/>
    <w:rsid w:val="4EA8567E"/>
    <w:rsid w:val="4FBE0E72"/>
    <w:rsid w:val="50E57F92"/>
    <w:rsid w:val="51B47819"/>
    <w:rsid w:val="54167249"/>
    <w:rsid w:val="545B3C5B"/>
    <w:rsid w:val="54751395"/>
    <w:rsid w:val="55BC1856"/>
    <w:rsid w:val="597744FD"/>
    <w:rsid w:val="5AA40888"/>
    <w:rsid w:val="5AD17137"/>
    <w:rsid w:val="5CD94CA0"/>
    <w:rsid w:val="614413F5"/>
    <w:rsid w:val="63007693"/>
    <w:rsid w:val="633B70C9"/>
    <w:rsid w:val="64527878"/>
    <w:rsid w:val="660B629C"/>
    <w:rsid w:val="668D5AAB"/>
    <w:rsid w:val="66E413C6"/>
    <w:rsid w:val="69AC291E"/>
    <w:rsid w:val="6C606BE2"/>
    <w:rsid w:val="6CB346D4"/>
    <w:rsid w:val="6DE06659"/>
    <w:rsid w:val="6F4060BD"/>
    <w:rsid w:val="717006C0"/>
    <w:rsid w:val="72C37B01"/>
    <w:rsid w:val="73C00F12"/>
    <w:rsid w:val="746D009F"/>
    <w:rsid w:val="74AB59ED"/>
    <w:rsid w:val="763C1CA0"/>
    <w:rsid w:val="766431C3"/>
    <w:rsid w:val="7C284C05"/>
    <w:rsid w:val="7C8940C6"/>
    <w:rsid w:val="7E000EBE"/>
    <w:rsid w:val="7E271861"/>
    <w:rsid w:val="7E5E6650"/>
    <w:rsid w:val="7E8168CF"/>
    <w:rsid w:val="7FBF3313"/>
    <w:rsid w:val="7FFA4DC4"/>
    <w:rsid w:val="9DFF61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9">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4">
    <w:name w:val="Plain Text"/>
    <w:basedOn w:val="1"/>
    <w:qFormat/>
    <w:uiPriority w:val="0"/>
    <w:pPr>
      <w:widowControl/>
      <w:spacing w:before="100" w:beforeAutospacing="1" w:after="100" w:afterAutospacing="1"/>
    </w:pPr>
    <w:rPr>
      <w:color w:val="000000"/>
      <w:sz w:val="24"/>
    </w:rPr>
  </w:style>
  <w:style w:type="paragraph" w:styleId="5">
    <w:name w:val="footer"/>
    <w:basedOn w:val="1"/>
    <w:link w:val="13"/>
    <w:unhideWhenUsed/>
    <w:qFormat/>
    <w:uiPriority w:val="99"/>
    <w:pPr>
      <w:tabs>
        <w:tab w:val="center" w:pos="4153"/>
        <w:tab w:val="right" w:pos="8306"/>
      </w:tabs>
      <w:snapToGrid w:val="0"/>
      <w:jc w:val="left"/>
    </w:pPr>
    <w:rPr>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22"/>
    <w:rPr>
      <w:b/>
    </w:rPr>
  </w:style>
  <w:style w:type="paragraph" w:customStyle="1" w:styleId="11">
    <w:name w:val="List Paragraph"/>
    <w:basedOn w:val="1"/>
    <w:qFormat/>
    <w:uiPriority w:val="34"/>
    <w:pPr>
      <w:ind w:firstLine="420" w:firstLineChars="200"/>
    </w:pPr>
    <w:rPr>
      <w:rFonts w:ascii="等线" w:hAnsi="等线" w:eastAsia="等线" w:cs="Times New Roman"/>
    </w:rPr>
  </w:style>
  <w:style w:type="character" w:customStyle="1" w:styleId="12">
    <w:name w:val="页眉 字符"/>
    <w:basedOn w:val="9"/>
    <w:link w:val="6"/>
    <w:qFormat/>
    <w:uiPriority w:val="99"/>
    <w:rPr>
      <w:sz w:val="18"/>
      <w:szCs w:val="18"/>
    </w:rPr>
  </w:style>
  <w:style w:type="character" w:customStyle="1" w:styleId="13">
    <w:name w:val="页脚 字符"/>
    <w:basedOn w:val="9"/>
    <w:link w:val="5"/>
    <w:qFormat/>
    <w:uiPriority w:val="99"/>
    <w:rPr>
      <w:sz w:val="18"/>
      <w:szCs w:val="18"/>
    </w:rPr>
  </w:style>
  <w:style w:type="character" w:customStyle="1" w:styleId="14">
    <w:name w:val="不明显强调1"/>
    <w:basedOn w:val="9"/>
    <w:qFormat/>
    <w:uiPriority w:val="19"/>
    <w:rPr>
      <w:i/>
      <w:iCs/>
      <w:color w:val="80808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451</Words>
  <Characters>2577</Characters>
  <Lines>21</Lines>
  <Paragraphs>6</Paragraphs>
  <TotalTime>15</TotalTime>
  <ScaleCrop>false</ScaleCrop>
  <LinksUpToDate>false</LinksUpToDate>
  <CharactersWithSpaces>3022</CharactersWithSpaces>
  <Application>WPS Office_11.8.2.8959_F1E327BC-269C-435d-A152-05C5408002CA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2019-09-04T23:33:00Z</dcterms:created>
  <dc:creator>Wang, Frankie</dc:creator>
  <cp:lastModifiedBy>Ρoλαrισ</cp:lastModifiedBy>
  <cp:lastPrinted>2026-09-24T06:04:00Z</cp:lastPrinted>
  <dcterms:modified xsi:type="dcterms:W3CDTF">2026-10-14T02:13:14Z</dcterms:modified>
  <cp:revision>98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2052-11.8.2.8959</vt:lpwstr>
  </property>
  <property fmtid="{D5CDD505-2E9C-101B-9397-08002B2CF9AE}" pid="3" name="ICV">
    <vt:lpwstr>EE063125215744069056ACB3607D0351</vt:lpwstr>
  </property>
</Properties>
</file>