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lang w:val="en-US" w:eastAsia="zh-CN"/>
        </w:rPr>
        <w:t>西南航食两场车辆C型低光强障碍灯小额采购项目整体技术要求</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w:t>
      </w:r>
      <w:r>
        <w:rPr>
          <w:rFonts w:hint="eastAsia" w:ascii="仿宋_GB2312" w:hAnsi="仿宋_GB2312" w:eastAsia="仿宋_GB2312" w:cs="仿宋_GB2312"/>
          <w:sz w:val="28"/>
          <w:szCs w:val="28"/>
        </w:rPr>
        <w:t>项目概况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根据局发明电【</w:t>
      </w:r>
      <w:r>
        <w:rPr>
          <w:rFonts w:hint="eastAsia" w:ascii="仿宋_GB2312" w:hAnsi="仿宋_GB2312" w:eastAsia="仿宋_GB2312" w:cs="仿宋_GB2312"/>
          <w:sz w:val="28"/>
          <w:szCs w:val="28"/>
        </w:rPr>
        <w:t>2026】442号文件《关于开展运输机场航空器活动区作业车辆涂装及灯光标示符合性专项排查的通知》要求，</w:t>
      </w:r>
      <w:r>
        <w:rPr>
          <w:rFonts w:hint="eastAsia" w:ascii="仿宋_GB2312" w:hAnsi="仿宋_GB2312" w:eastAsia="仿宋_GB2312" w:cs="仿宋_GB2312"/>
          <w:sz w:val="28"/>
          <w:szCs w:val="28"/>
          <w:lang w:eastAsia="zh-CN"/>
        </w:rPr>
        <w:t>我司</w:t>
      </w:r>
      <w:bookmarkStart w:id="0" w:name="_GoBack"/>
      <w:bookmarkEnd w:id="0"/>
      <w:r>
        <w:rPr>
          <w:rFonts w:hint="eastAsia" w:ascii="仿宋_GB2312" w:hAnsi="仿宋_GB2312" w:eastAsia="仿宋_GB2312" w:cs="仿宋_GB2312"/>
          <w:sz w:val="28"/>
          <w:szCs w:val="28"/>
        </w:rPr>
        <w:t>开展了天府机场机坪区车辆涂装及灯光标示符合性专项排查，经排查天府分公司只有4台新能源食品车符合要求，其余35台车辆均为普通黄色警示灯，不符合文件要求。</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二、项目名称</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（一）项目名称：西南航食两场车辆C型低光强障碍灯小额采购项目。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三、采购需求</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（一）西南航食两场车辆C型低光强障碍灯采购项目采购内容：（因双流已采，以天府更换的量预估）</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现有24台食品车×2个=48个；加餐面包车、加餐冷藏车、巡检车、通勤车11台×1个=11个；共计需立即采购59个C型低光强障碍灯，后续两场合同期内新增车辆及非质量原因损坏更换按框架协议执行。</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（二）技术参数/服务/其他需求：</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1.技术参数/服务要求：</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 产品型号：航空车辆专用C型低光强障碍灯。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 产品规格：满足双流机场及天府机场机坪车辆昼夜开启使用要求，适配车辆12V/24V电源，日均连续使用15小时无故障。</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 所有产品均为全新正品，无质量瑕疵、无破损、无过期，严禁提供假冒伪劣、不合格产品。</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2.合同签署方式及合同期限：</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2.1 合同签署方式：框架协议。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2.2 合同期限：2年期合同，以及设备到货、安装、试运行、验收合格后1年以上质保。</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3.付款方式：产品及服务全部验收合格后15日内，一次性支付合同总价（以实际发生数量核算结果为准）。</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4.交付期限：2026年12月31日前，在送货前24小时书面通知，以便配合施工验收。</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5.项目地点：西南航食及天府分公司。</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6.验收标准：按照国家相关产品质量标准、安装要求及机场车辆合规管理标准执行，《双流机场机坪车辆管理规定》、《天府机场机坪车辆管理规定》逐一核验。</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7.售后服务：质保期内提供免费上门维修、更换服务，接到故障通知后，24小时内处置。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产品须满足（不限于）的标准规范：C型低光强障碍灯需符合民航机场车辆运行照明标准及天府机场机坪车辆管理要求，具备产品合格证书、质量检测报告，适配所有机坪作业车辆，满足昼夜连续使用、抗高低温、抗震动、防水防尘要求，符合产品使用年限。</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9.产品包装要求：防震泡沫+硬质纸盒包装，内置产品说明书、合格证、安装配件。</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四、供应商需满足的资格条件</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1.相关资质证明。</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2.所供产品完全符合国家、机场相关规范要求，能提供产品对应的质量检测报告、合格证等资料，确保产品质量合格、手续齐全。</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3.未被列入关联公司供应商黑名单、政府采购严重违法失信行为记录名单。</w:t>
      </w:r>
    </w:p>
    <w:p>
      <w:pPr>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E71D1D"/>
    <w:rsid w:val="03D311DB"/>
    <w:rsid w:val="05E71D1D"/>
    <w:rsid w:val="1B3C6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2026-10-10T06:40:00Z</dcterms:created>
  <dc:creator>Administrator</dc:creator>
  <cp:lastModifiedBy>Administrator</cp:lastModifiedBy>
  <dcterms:modified xsi:type="dcterms:W3CDTF">2026-10-10T06:57:48Z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