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36" w:lineRule="auto"/>
        <w:ind w:firstLine="880" w:firstLineChars="200"/>
        <w:jc w:val="both"/>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一、基本要求</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车辆车型：小型</w:t>
      </w:r>
      <w:r>
        <w:rPr>
          <w:rFonts w:hint="eastAsia" w:ascii="仿宋_GB2312" w:hAnsi="仿宋_GB2312" w:eastAsia="仿宋_GB2312" w:cs="仿宋_GB2312"/>
          <w:color w:val="auto"/>
          <w:sz w:val="32"/>
          <w:szCs w:val="32"/>
          <w:highlight w:val="none"/>
          <w:lang w:eastAsia="zh-CN"/>
        </w:rPr>
        <w:t>乘座</w:t>
      </w:r>
      <w:r>
        <w:rPr>
          <w:rFonts w:hint="eastAsia" w:ascii="仿宋_GB2312" w:hAnsi="仿宋_GB2312" w:eastAsia="仿宋_GB2312" w:cs="仿宋_GB2312"/>
          <w:color w:val="auto"/>
          <w:sz w:val="32"/>
          <w:szCs w:val="32"/>
          <w:highlight w:val="none"/>
        </w:rPr>
        <w:t>车</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准乘人数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7—9座乘座车（C1准驾范围内）</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车辆用途：</w:t>
      </w:r>
      <w:r>
        <w:rPr>
          <w:rFonts w:hint="eastAsia" w:ascii="仿宋_GB2312" w:hAnsi="仿宋_GB2312" w:eastAsia="仿宋_GB2312" w:cs="仿宋_GB2312"/>
          <w:color w:val="auto"/>
          <w:sz w:val="32"/>
          <w:szCs w:val="32"/>
          <w:highlight w:val="none"/>
          <w:lang w:eastAsia="zh-CN"/>
        </w:rPr>
        <w:t>驻场毛毯一班一换</w:t>
      </w:r>
    </w:p>
    <w:p>
      <w:pPr>
        <w:keepNext w:val="0"/>
        <w:keepLines w:val="0"/>
        <w:pageBreakBefore w:val="0"/>
        <w:widowControl w:val="0"/>
        <w:kinsoku/>
        <w:wordWrap/>
        <w:overflowPunct/>
        <w:topLinePunct w:val="0"/>
        <w:autoSpaceDE/>
        <w:autoSpaceDN/>
        <w:bidi w:val="0"/>
        <w:adjustRightInd/>
        <w:snapToGrid/>
        <w:spacing w:line="336" w:lineRule="auto"/>
        <w:ind w:firstLine="880" w:firstLineChars="200"/>
        <w:jc w:val="both"/>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二、技术要求</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1.车辆续航里程≧</w:t>
      </w:r>
      <w:r>
        <w:rPr>
          <w:rFonts w:hint="eastAsia" w:ascii="仿宋_GB2312" w:hAnsi="仿宋_GB2312" w:eastAsia="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km</w:t>
      </w:r>
      <w:r>
        <w:rPr>
          <w:rFonts w:hint="eastAsia" w:ascii="仿宋_GB2312" w:hAnsi="仿宋_GB2312" w:eastAsia="仿宋_GB2312" w:cs="仿宋_GB2312"/>
          <w:color w:val="auto"/>
          <w:sz w:val="32"/>
          <w:szCs w:val="32"/>
          <w:highlight w:val="none"/>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2.车型：七至九座乘座车，长</w:t>
      </w:r>
      <w:r>
        <w:rPr>
          <w:rFonts w:hint="eastAsia" w:ascii="宋体" w:hAnsi="宋体" w:eastAsia="宋体" w:cs="宋体"/>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5500mm、宽</w:t>
      </w:r>
      <w:r>
        <w:rPr>
          <w:rFonts w:hint="eastAsia" w:ascii="宋体" w:hAnsi="宋体" w:eastAsia="宋体" w:cs="宋体"/>
          <w:color w:val="auto"/>
          <w:sz w:val="32"/>
          <w:szCs w:val="32"/>
          <w:highlight w:val="none"/>
          <w:lang w:val="en-US" w:eastAsia="zh-CN"/>
        </w:rPr>
        <w:t>≦</w:t>
      </w:r>
      <w:r>
        <w:rPr>
          <w:rFonts w:hint="eastAsia" w:ascii="宋体" w:hAnsi="宋体" w:cs="宋体"/>
          <w:color w:val="auto"/>
          <w:sz w:val="32"/>
          <w:szCs w:val="32"/>
          <w:highlight w:val="none"/>
          <w:lang w:val="en-US" w:eastAsia="zh-CN"/>
        </w:rPr>
        <w:t>20</w:t>
      </w:r>
      <w:r>
        <w:rPr>
          <w:rFonts w:hint="eastAsia" w:ascii="仿宋_GB2312" w:hAnsi="仿宋_GB2312" w:eastAsia="仿宋_GB2312" w:cs="仿宋_GB2312"/>
          <w:color w:val="auto"/>
          <w:sz w:val="32"/>
          <w:szCs w:val="32"/>
          <w:highlight w:val="none"/>
          <w:lang w:val="en-US" w:eastAsia="zh-CN"/>
        </w:rPr>
        <w:t>00mm、高</w:t>
      </w:r>
      <w:r>
        <w:rPr>
          <w:rFonts w:hint="eastAsia" w:ascii="宋体" w:hAnsi="宋体" w:eastAsia="宋体" w:cs="宋体"/>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2200mm，车辆轴距≧3500mm。</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3.车辆驱动电机：永磁同步电机，最大功率≧170kW。</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4.车辆电池：磷酸铁锂电池，总储电量≧80kWh。</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车身颜色为白色，在车辆侧部喷涂单位名称和标识，新能源车辆标识的标签应当设置在前挡风玻璃驾驶舱内侧右上方位置，标明“新能源”字样以及电池类型，使用红底白字的菱形样式，文字高3厘米、红底高10厘米；并配有红白相间的连续反光标志，反光标志应符合《机动车回复反射装置》（GB11564—2024)A类一级反光标识要求（每种颜色单元的连续长度和宽度分别为150mm和50mm，靠近车厢尾部一端应以白色单元结束）；车辆顶部喷涂黄色警示漆。</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6.车辆顶部须安装C型低光强障碍灯（如不能提供C型低光强障碍灯，必须预留安装接头），车顶C型低光强障碍灯必须受到点火控制。</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7.车辆必须配备三角警示牌、绝缘手套、灭火器材和备胎。</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8.车辆质保期必须符合国家的三包政策标准。</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9.电动汽车全车断电后，仍应当具备制动和转向功能。</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10.电动汽车自身具有应急刹车解除功能，应当设置用于拖曳的牵引钩或其他用于固定绳索的装置，以便在主动力、控制系统失灵时或蓄电池电量不足时将设备移走。</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1610995</wp:posOffset>
            </wp:positionH>
            <wp:positionV relativeFrom="paragraph">
              <wp:posOffset>1466850</wp:posOffset>
            </wp:positionV>
            <wp:extent cx="2127885" cy="774065"/>
            <wp:effectExtent l="0" t="0" r="5715"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127885" cy="774065"/>
                    </a:xfrm>
                    <a:prstGeom prst="rect">
                      <a:avLst/>
                    </a:prstGeom>
                    <a:noFill/>
                    <a:ln>
                      <a:noFill/>
                    </a:ln>
                  </pic:spPr>
                </pic:pic>
              </a:graphicData>
            </a:graphic>
          </wp:anchor>
        </w:drawing>
      </w:r>
      <w:r>
        <w:rPr>
          <w:rFonts w:hint="eastAsia" w:ascii="仿宋_GB2312" w:hAnsi="仿宋_GB2312" w:eastAsia="仿宋_GB2312" w:cs="仿宋_GB2312"/>
          <w:color w:val="auto"/>
          <w:sz w:val="32"/>
          <w:szCs w:val="32"/>
          <w:highlight w:val="none"/>
          <w:lang w:val="en-US" w:eastAsia="zh-CN"/>
        </w:rPr>
        <w:t>11.电动汽车应在电池位置或附近张贴明显标志，标志为红底白字，内容包括电池种类、容量、自动灭火装置等信息。电池种类的字体高度不小于10cm，其他文字的字体高度不小于5cm。</w:t>
      </w:r>
    </w:p>
    <w:p>
      <w:pPr>
        <w:rPr>
          <w:rFonts w:hint="eastAsia" w:ascii="仿宋_GB2312" w:hAnsi="仿宋_GB2312" w:eastAsia="仿宋_GB2312" w:cs="仿宋_GB2312"/>
          <w:color w:val="auto"/>
          <w:sz w:val="32"/>
          <w:szCs w:val="32"/>
          <w:highlight w:val="none"/>
          <w:lang w:val="en-US" w:eastAsia="zh-CN"/>
        </w:rPr>
      </w:pPr>
    </w:p>
    <w:p>
      <w:pPr>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drawing>
          <wp:anchor distT="0" distB="0" distL="114300" distR="114300" simplePos="0" relativeHeight="251660288" behindDoc="0" locked="0" layoutInCell="1" allowOverlap="1">
            <wp:simplePos x="0" y="0"/>
            <wp:positionH relativeFrom="column">
              <wp:posOffset>1927860</wp:posOffset>
            </wp:positionH>
            <wp:positionV relativeFrom="paragraph">
              <wp:posOffset>1904365</wp:posOffset>
            </wp:positionV>
            <wp:extent cx="1504950" cy="767080"/>
            <wp:effectExtent l="0" t="0" r="0" b="1397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1504950" cy="767080"/>
                    </a:xfrm>
                    <a:prstGeom prst="rect">
                      <a:avLst/>
                    </a:prstGeom>
                    <a:noFill/>
                    <a:ln>
                      <a:noFill/>
                    </a:ln>
                  </pic:spPr>
                </pic:pic>
              </a:graphicData>
            </a:graphic>
          </wp:anchor>
        </w:drawing>
      </w:r>
      <w:r>
        <w:rPr>
          <w:rFonts w:hint="eastAsia" w:ascii="仿宋_GB2312" w:hAnsi="仿宋_GB2312" w:eastAsia="仿宋_GB2312" w:cs="仿宋_GB2312"/>
          <w:color w:val="auto"/>
          <w:sz w:val="32"/>
          <w:szCs w:val="32"/>
          <w:highlight w:val="none"/>
          <w:lang w:val="en-US" w:eastAsia="zh-CN"/>
        </w:rPr>
        <w:t>12.电动汽车识别标志由电池图形、电动汽车的英文缩写“EV”（Electric vehicle）和“电动”字样等元素组成，标志整体长宽比例应为2:1；标志应设置在车体两侧后端上方或下方，且左右两侧对称，以及车体后视面左下方、视线无遮挡的位置。</w:t>
      </w:r>
    </w:p>
    <w:p>
      <w:pPr>
        <w:rPr>
          <w:rFonts w:hint="eastAsia" w:ascii="仿宋_GB2312" w:hAnsi="仿宋_GB2312" w:eastAsia="仿宋_GB2312" w:cs="仿宋_GB2312"/>
          <w:color w:val="auto"/>
          <w:sz w:val="32"/>
          <w:szCs w:val="32"/>
          <w:highlight w:val="none"/>
          <w:lang w:val="en-US" w:eastAsia="zh-CN"/>
        </w:rPr>
      </w:pPr>
    </w:p>
    <w:p>
      <w:pPr>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13.电动汽车应具备动力蓄电池状态显示设备，至少能够显示出剩余电量或可用行驶里程，在车辆出现热失控时车辆应通过一个明显的信号（例如：声或光信号）装置向驾驶员提示。</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仿宋_GB2312" w:hAnsi="仿宋_GB2312" w:eastAsia="仿宋_GB2312" w:cs="仿宋_GB2312"/>
          <w:color w:val="auto"/>
          <w:sz w:val="32"/>
          <w:szCs w:val="32"/>
          <w:highlight w:val="none"/>
          <w:lang w:val="en-US" w:eastAsia="zh-CN"/>
        </w:rPr>
      </w:pPr>
      <w:r>
        <w:drawing>
          <wp:anchor distT="0" distB="0" distL="114300" distR="114300" simplePos="0" relativeHeight="251661312" behindDoc="0" locked="0" layoutInCell="1" allowOverlap="1">
            <wp:simplePos x="0" y="0"/>
            <wp:positionH relativeFrom="column">
              <wp:posOffset>1058545</wp:posOffset>
            </wp:positionH>
            <wp:positionV relativeFrom="paragraph">
              <wp:posOffset>1116330</wp:posOffset>
            </wp:positionV>
            <wp:extent cx="1276350" cy="1276350"/>
            <wp:effectExtent l="0" t="0" r="0" b="0"/>
            <wp:wrapNone/>
            <wp:docPr id="2" name="图片 4" descr="C:\Users\guijr\AppData\Local\Microsoft\Windows\INetCache\Content.Word\高压电标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C:\Users\guijr\AppData\Local\Microsoft\Windows\INetCache\Content.Word\高压电标识.jpg"/>
                    <pic:cNvPicPr>
                      <a:picLocks noChangeAspect="1"/>
                    </pic:cNvPicPr>
                  </pic:nvPicPr>
                  <pic:blipFill>
                    <a:blip r:embed="rId8"/>
                    <a:stretch>
                      <a:fillRect/>
                    </a:stretch>
                  </pic:blipFill>
                  <pic:spPr>
                    <a:xfrm>
                      <a:off x="0" y="0"/>
                      <a:ext cx="1276350" cy="1276350"/>
                    </a:xfrm>
                    <a:prstGeom prst="rect">
                      <a:avLst/>
                    </a:prstGeom>
                    <a:noFill/>
                    <a:ln>
                      <a:noFill/>
                    </a:ln>
                  </pic:spPr>
                </pic:pic>
              </a:graphicData>
            </a:graphic>
          </wp:anchor>
        </w:drawing>
      </w:r>
      <w:r>
        <w:rPr>
          <w:rFonts w:hint="eastAsia" w:ascii="仿宋_GB2312" w:hAnsi="仿宋_GB2312" w:eastAsia="仿宋_GB2312" w:cs="仿宋_GB2312"/>
          <w:color w:val="auto"/>
          <w:sz w:val="32"/>
          <w:szCs w:val="32"/>
          <w:highlight w:val="none"/>
          <w:lang w:val="en-US" w:eastAsia="zh-CN"/>
        </w:rPr>
        <w:t>14.人员触电防护须满足GB/T 18384《电动汽车安全要求》中对高压标记要求、直接接触防护要求及间接接触防护要求（高压电处有高压电标识，充电口处有充电标识（参考））。</w:t>
      </w:r>
    </w:p>
    <w:p>
      <w:pPr>
        <w:rPr>
          <w:rFonts w:hint="eastAsia" w:ascii="仿宋_GB2312" w:hAnsi="仿宋_GB2312" w:eastAsia="仿宋_GB2312" w:cs="仿宋_GB2312"/>
          <w:color w:val="auto"/>
          <w:sz w:val="32"/>
          <w:szCs w:val="32"/>
          <w:highlight w:val="none"/>
          <w:lang w:val="en-US" w:eastAsia="zh-CN"/>
        </w:rPr>
      </w:pPr>
      <w:r>
        <w:rPr>
          <w:rFonts w:ascii="宋体" w:hAnsi="宋体"/>
          <w:sz w:val="24"/>
          <w:szCs w:val="24"/>
        </w:rPr>
        <w:drawing>
          <wp:anchor distT="0" distB="0" distL="114300" distR="114300" simplePos="0" relativeHeight="251662336" behindDoc="0" locked="0" layoutInCell="1" allowOverlap="1">
            <wp:simplePos x="0" y="0"/>
            <wp:positionH relativeFrom="column">
              <wp:posOffset>2719070</wp:posOffset>
            </wp:positionH>
            <wp:positionV relativeFrom="paragraph">
              <wp:posOffset>27940</wp:posOffset>
            </wp:positionV>
            <wp:extent cx="1123950" cy="1123950"/>
            <wp:effectExtent l="0" t="0" r="0" b="0"/>
            <wp:wrapNone/>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9"/>
                    <a:stretch>
                      <a:fillRect/>
                    </a:stretch>
                  </pic:blipFill>
                  <pic:spPr>
                    <a:xfrm>
                      <a:off x="0" y="0"/>
                      <a:ext cx="1123950" cy="1123950"/>
                    </a:xfrm>
                    <a:prstGeom prst="rect">
                      <a:avLst/>
                    </a:prstGeom>
                    <a:noFill/>
                    <a:ln>
                      <a:noFill/>
                    </a:ln>
                  </pic:spPr>
                </pic:pic>
              </a:graphicData>
            </a:graphic>
          </wp:anchor>
        </w:drawing>
      </w:r>
    </w:p>
    <w:p>
      <w:pPr>
        <w:rPr>
          <w:rFonts w:hint="eastAsia" w:ascii="仿宋_GB2312" w:hAnsi="仿宋_GB2312" w:eastAsia="仿宋_GB2312" w:cs="仿宋_GB2312"/>
          <w:color w:val="auto"/>
          <w:sz w:val="32"/>
          <w:szCs w:val="32"/>
          <w:highlight w:val="none"/>
          <w:lang w:val="en-US" w:eastAsia="zh-CN"/>
        </w:rPr>
      </w:pPr>
    </w:p>
    <w:p>
      <w:pPr>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15.整车和电池组等重要部件须为当年生产。</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16.供应商需建立“三电”监控系统，24小时监控电机、电池、电控系统运行情况，出现异常情况及时反馈。</w:t>
      </w:r>
    </w:p>
    <w:p>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17.供应商在质保期内需提供上门保养服务，每6个月对新能源车辆进行安全检测，并出具加盖公章的检查报告。检查内容至少包括：防水保护、高压线束和连接插件、防碰撞结构、车载动力电池和电池箱、车载充电装置、机械部件和易损件等。</w:t>
      </w:r>
    </w:p>
    <w:p>
      <w:pPr>
        <w:keepNext w:val="0"/>
        <w:keepLines w:val="0"/>
        <w:pageBreakBefore w:val="0"/>
        <w:widowControl w:val="0"/>
        <w:kinsoku/>
        <w:wordWrap/>
        <w:overflowPunct/>
        <w:topLinePunct w:val="0"/>
        <w:autoSpaceDE/>
        <w:autoSpaceDN/>
        <w:bidi w:val="0"/>
        <w:adjustRightInd/>
        <w:snapToGrid/>
        <w:spacing w:line="336" w:lineRule="auto"/>
        <w:ind w:left="0" w:leftChars="0" w:firstLine="640" w:firstLineChars="200"/>
        <w:jc w:val="both"/>
        <w:textAlignment w:val="auto"/>
        <w:rPr>
          <w:rFonts w:hint="eastAsia" w:ascii="仿宋_GB2312" w:hAnsi="仿宋_GB2312" w:eastAsia="仿宋_GB2312" w:cs="仿宋_GB2312"/>
          <w:b w:val="0"/>
          <w:bCs w:val="0"/>
          <w:sz w:val="32"/>
          <w:szCs w:val="32"/>
          <w:lang w:val="en-US" w:eastAsia="zh-CN"/>
        </w:rPr>
      </w:pPr>
    </w:p>
    <w:p/>
    <w:sectPr>
      <w:headerReference r:id="rId3" w:type="default"/>
      <w:footerReference r:id="rId4" w:type="default"/>
      <w:pgSz w:w="11906" w:h="16838"/>
      <w:pgMar w:top="1440" w:right="1846" w:bottom="1440" w:left="1860" w:header="851" w:footer="992" w:gutter="0"/>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4D1925"/>
    <w:rsid w:val="334D1925"/>
    <w:rsid w:val="3D583F06"/>
    <w:rsid w:val="72966104"/>
    <w:rsid w:val="7C6E8429"/>
    <w:rsid w:val="F3FFF2B7"/>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2026-08-31T21:57:00Z</dcterms:created>
  <dc:creator>逸翔天开</dc:creator>
  <cp:lastModifiedBy>汪旭</cp:lastModifiedBy>
  <dcterms:modified xsi:type="dcterms:W3CDTF">2026-09-18T02:53:57Z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DFA7A342471229A3A0CF986A26B0CCC0_43</vt:lpwstr>
  </property>
  <property fmtid="{D5CDD505-2E9C-101B-9397-08002B2CF9AE}" pid="4" name="KSOTemplateDocerSaveRecord">
    <vt:lpwstr>eyJoZGlkIjoiN2M4YmI4MTg1MTE2ZTQzZjNkOWU5ZmUyMjhjNTBhZjYiLCJ1c2VySWQiOiI4MjA3NDc3ODAifQ==</vt:lpwstr>
  </property>
</Properties>
</file>