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0" w:line="336" w:lineRule="auto"/>
        <w:ind w:right="0" w:rightChars="0"/>
        <w:jc w:val="center"/>
        <w:textAlignment w:val="auto"/>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上海中航航空食品有限公司高速打印</w:t>
      </w:r>
    </w:p>
    <w:p>
      <w:pPr>
        <w:keepNext w:val="0"/>
        <w:keepLines w:val="0"/>
        <w:pageBreakBefore w:val="0"/>
        <w:widowControl w:val="0"/>
        <w:kinsoku/>
        <w:wordWrap/>
        <w:overflowPunct/>
        <w:topLinePunct w:val="0"/>
        <w:autoSpaceDE/>
        <w:autoSpaceDN/>
        <w:bidi w:val="0"/>
        <w:adjustRightInd/>
        <w:snapToGrid/>
        <w:spacing w:after="0" w:line="336" w:lineRule="auto"/>
        <w:ind w:right="0" w:rightChars="0"/>
        <w:jc w:val="center"/>
        <w:textAlignment w:val="auto"/>
        <w:outlineLvl w:val="9"/>
        <w:rPr>
          <w:rFonts w:hint="eastAsia" w:ascii="方正小标宋简体" w:eastAsia="方正小标宋简体" w:cs="仿宋_GB2312"/>
          <w:kern w:val="0"/>
          <w:sz w:val="44"/>
          <w:szCs w:val="44"/>
        </w:rPr>
      </w:pPr>
      <w:r>
        <w:rPr>
          <w:rFonts w:hint="eastAsia" w:ascii="方正小标宋简体" w:hAnsi="方正小标宋简体" w:eastAsia="方正小标宋简体" w:cs="方正小标宋简体"/>
          <w:b w:val="0"/>
          <w:bCs w:val="0"/>
          <w:sz w:val="44"/>
          <w:szCs w:val="44"/>
          <w:lang w:val="en-US" w:eastAsia="zh-CN"/>
        </w:rPr>
        <w:t>机采购项目</w:t>
      </w:r>
      <w:r>
        <w:rPr>
          <w:rFonts w:hint="eastAsia" w:ascii="方正小标宋简体" w:hAnsi="方正小标宋简体" w:eastAsia="方正小标宋简体" w:cs="方正小标宋简体"/>
          <w:b w:val="0"/>
          <w:bCs w:val="0"/>
          <w:kern w:val="0"/>
          <w:sz w:val="44"/>
          <w:szCs w:val="44"/>
          <w:lang w:eastAsia="zh-CN"/>
        </w:rPr>
        <w:t>采购</w:t>
      </w:r>
      <w:r>
        <w:rPr>
          <w:rFonts w:hint="eastAsia" w:ascii="方正小标宋简体" w:hAnsi="方正小标宋简体" w:eastAsia="方正小标宋简体" w:cs="方正小标宋简体"/>
          <w:b w:val="0"/>
          <w:bCs w:val="0"/>
          <w:kern w:val="0"/>
          <w:sz w:val="44"/>
          <w:szCs w:val="44"/>
          <w:lang w:val="en-US" w:eastAsia="zh-CN"/>
        </w:rPr>
        <w:t>需求</w:t>
      </w:r>
    </w:p>
    <w:p>
      <w:pPr>
        <w:spacing w:after="0" w:line="240" w:lineRule="auto"/>
        <w:ind w:firstLine="640" w:firstLineChars="200"/>
        <w:rPr>
          <w:rFonts w:hint="eastAsia" w:ascii="仿宋_GB2312" w:hAnsi="微软雅黑" w:eastAsia="仿宋_GB2312" w:cs="微软雅黑"/>
          <w:color w:val="000000" w:themeColor="text1"/>
          <w:kern w:val="0"/>
          <w:sz w:val="32"/>
          <w:szCs w:val="32"/>
          <w14:textFill>
            <w14:solidFill>
              <w14:schemeClr w14:val="tx1"/>
            </w14:solidFill>
          </w14:textFill>
          <w14:ligatures w14:val="none"/>
        </w:rPr>
      </w:pPr>
    </w:p>
    <w:p>
      <w:pPr>
        <w:keepNext w:val="0"/>
        <w:keepLines w:val="0"/>
        <w:pageBreakBefore w:val="0"/>
        <w:widowControl w:val="0"/>
        <w:kinsoku/>
        <w:wordWrap/>
        <w:overflowPunct/>
        <w:topLinePunct w:val="0"/>
        <w:autoSpaceDE/>
        <w:autoSpaceDN/>
        <w:bidi w:val="0"/>
        <w:adjustRightInd/>
        <w:snapToGrid/>
        <w:spacing w:after="0" w:line="336" w:lineRule="auto"/>
        <w:ind w:firstLine="640" w:firstLineChars="200"/>
        <w:textAlignment w:val="auto"/>
        <w:rPr>
          <w:rFonts w:hint="eastAsia" w:ascii="仿宋_GB2312" w:hAnsi="微软雅黑" w:eastAsia="仿宋_GB2312" w:cs="微软雅黑"/>
          <w:color w:val="000000" w:themeColor="text1"/>
          <w:kern w:val="0"/>
          <w:sz w:val="32"/>
          <w:szCs w:val="32"/>
          <w14:textFill>
            <w14:solidFill>
              <w14:schemeClr w14:val="tx1"/>
            </w14:solidFill>
          </w14:textFill>
          <w14:ligatures w14:val="none"/>
        </w:rPr>
      </w:pPr>
      <w:r>
        <w:rPr>
          <w:rFonts w:hint="eastAsia" w:ascii="仿宋_GB2312" w:hAnsi="微软雅黑" w:eastAsia="仿宋_GB2312" w:cs="微软雅黑"/>
          <w:color w:val="000000" w:themeColor="text1"/>
          <w:kern w:val="0"/>
          <w:sz w:val="32"/>
          <w:szCs w:val="32"/>
          <w14:textFill>
            <w14:solidFill>
              <w14:schemeClr w14:val="tx1"/>
            </w14:solidFill>
          </w14:textFill>
          <w14:ligatures w14:val="none"/>
        </w:rPr>
        <w:t>根据中翼航空投资有限公司标准采购管理规程和上海中航航空食品有限公司</w:t>
      </w:r>
      <w:r>
        <w:rPr>
          <w:rFonts w:hint="eastAsia" w:ascii="仿宋_GB2312" w:hAnsi="微软雅黑" w:eastAsia="仿宋_GB2312" w:cs="微软雅黑"/>
          <w:color w:val="000000" w:themeColor="text1"/>
          <w:kern w:val="0"/>
          <w:sz w:val="32"/>
          <w:szCs w:val="32"/>
          <w:lang w:val="en-US" w:eastAsia="zh-CN"/>
          <w14:textFill>
            <w14:solidFill>
              <w14:schemeClr w14:val="tx1"/>
            </w14:solidFill>
          </w14:textFill>
          <w14:ligatures w14:val="none"/>
        </w:rPr>
        <w:t>相关</w:t>
      </w:r>
      <w:r>
        <w:rPr>
          <w:rFonts w:hint="eastAsia" w:ascii="仿宋_GB2312" w:hAnsi="微软雅黑" w:eastAsia="仿宋_GB2312" w:cs="微软雅黑"/>
          <w:color w:val="000000" w:themeColor="text1"/>
          <w:kern w:val="0"/>
          <w:sz w:val="32"/>
          <w:szCs w:val="32"/>
          <w14:textFill>
            <w14:solidFill>
              <w14:schemeClr w14:val="tx1"/>
            </w14:solidFill>
          </w14:textFill>
          <w14:ligatures w14:val="none"/>
        </w:rPr>
        <w:t>采购管理规定，该项目已具备采购条件。采购申请具体如下：</w:t>
      </w:r>
    </w:p>
    <w:p>
      <w:pPr>
        <w:pStyle w:val="8"/>
        <w:keepNext w:val="0"/>
        <w:keepLines w:val="0"/>
        <w:pageBreakBefore w:val="0"/>
        <w:widowControl w:val="0"/>
        <w:numPr>
          <w:ilvl w:val="255"/>
          <w:numId w:val="0"/>
        </w:numPr>
        <w:kinsoku/>
        <w:wordWrap/>
        <w:overflowPunct/>
        <w:topLinePunct w:val="0"/>
        <w:autoSpaceDE/>
        <w:autoSpaceDN/>
        <w:bidi w:val="0"/>
        <w:adjustRightInd/>
        <w:snapToGrid/>
        <w:spacing w:line="336" w:lineRule="auto"/>
        <w:ind w:firstLine="640" w:firstLineChars="200"/>
        <w:textAlignment w:val="auto"/>
        <w:rPr>
          <w:rFonts w:hint="eastAsia" w:ascii="黑体" w:hAnsi="黑体" w:eastAsia="黑体" w:cs="微软雅黑"/>
          <w:color w:val="000000" w:themeColor="text1"/>
          <w:kern w:val="0"/>
          <w:sz w:val="32"/>
          <w:szCs w:val="32"/>
          <w14:textFill>
            <w14:solidFill>
              <w14:schemeClr w14:val="tx1"/>
            </w14:solidFill>
          </w14:textFill>
        </w:rPr>
      </w:pPr>
      <w:r>
        <w:rPr>
          <w:rFonts w:hint="eastAsia" w:ascii="黑体" w:hAnsi="黑体" w:eastAsia="黑体" w:cs="微软雅黑"/>
          <w:color w:val="000000" w:themeColor="text1"/>
          <w:kern w:val="0"/>
          <w:sz w:val="32"/>
          <w:szCs w:val="32"/>
          <w14:textFill>
            <w14:solidFill>
              <w14:schemeClr w14:val="tx1"/>
            </w14:solidFill>
          </w14:textFill>
        </w:rPr>
        <w:t>一、项目概况</w:t>
      </w:r>
    </w:p>
    <w:p>
      <w:pPr>
        <w:keepNext w:val="0"/>
        <w:keepLines w:val="0"/>
        <w:pageBreakBefore w:val="0"/>
        <w:widowControl w:val="0"/>
        <w:kinsoku/>
        <w:wordWrap/>
        <w:overflowPunct/>
        <w:topLinePunct w:val="0"/>
        <w:autoSpaceDE/>
        <w:autoSpaceDN/>
        <w:bidi w:val="0"/>
        <w:adjustRightInd/>
        <w:snapToGrid/>
        <w:spacing w:line="336" w:lineRule="auto"/>
        <w:ind w:right="0" w:rightChars="0" w:firstLine="640" w:firstLineChars="200"/>
        <w:textAlignment w:val="auto"/>
        <w:outlineLvl w:val="9"/>
        <w:rPr>
          <w:rFonts w:hint="eastAsia" w:ascii="仿宋_GB2312" w:hAnsi="仿宋_GB2312" w:eastAsia="仿宋_GB2312" w:cs="仿宋_GB2312"/>
          <w:i w:val="0"/>
          <w:iCs w:val="0"/>
          <w:caps w:val="0"/>
          <w:color w:val="000000" w:themeColor="text1"/>
          <w:spacing w:val="0"/>
          <w:kern w:val="0"/>
          <w:sz w:val="32"/>
          <w:szCs w:val="32"/>
          <w:shd w:val="clear" w:fill="auto"/>
          <w:lang w:eastAsia="zh-CN"/>
          <w14:textFill>
            <w14:solidFill>
              <w14:schemeClr w14:val="tx1"/>
            </w14:solidFill>
          </w14:textFill>
        </w:rPr>
      </w:pPr>
      <w:r>
        <w:rPr>
          <w:rFonts w:hint="eastAsia" w:ascii="仿宋_GB2312" w:hAnsi="微软雅黑" w:eastAsia="仿宋_GB2312" w:cs="微软雅黑"/>
          <w:color w:val="000000" w:themeColor="text1"/>
          <w:kern w:val="0"/>
          <w:sz w:val="32"/>
          <w:szCs w:val="32"/>
          <w:lang w:val="en-US" w:eastAsia="zh-CN"/>
          <w14:textFill>
            <w14:solidFill>
              <w14:schemeClr w14:val="tx1"/>
            </w14:solidFill>
          </w14:textFill>
        </w:rPr>
        <w:t>(一）</w:t>
      </w:r>
      <w:r>
        <w:rPr>
          <w:rFonts w:hint="eastAsia" w:ascii="仿宋_GB2312" w:hAnsi="微软雅黑" w:eastAsia="仿宋_GB2312" w:cs="微软雅黑"/>
          <w:color w:val="000000" w:themeColor="text1"/>
          <w:kern w:val="0"/>
          <w:sz w:val="32"/>
          <w:szCs w:val="32"/>
          <w14:textFill>
            <w14:solidFill>
              <w14:schemeClr w14:val="tx1"/>
            </w14:solidFill>
          </w14:textFill>
        </w:rPr>
        <w:t>项目</w:t>
      </w:r>
      <w:r>
        <w:rPr>
          <w:rFonts w:hint="eastAsia" w:ascii="仿宋_GB2312" w:hAnsi="微软雅黑" w:eastAsia="仿宋_GB2312" w:cs="微软雅黑"/>
          <w:color w:val="000000" w:themeColor="text1"/>
          <w:kern w:val="0"/>
          <w:sz w:val="32"/>
          <w:szCs w:val="32"/>
          <w:lang w:val="en-US" w:eastAsia="zh-CN"/>
          <w14:textFill>
            <w14:solidFill>
              <w14:schemeClr w14:val="tx1"/>
            </w14:solidFill>
          </w14:textFill>
        </w:rPr>
        <w:t>背景</w:t>
      </w:r>
      <w:r>
        <w:rPr>
          <w:rFonts w:hint="eastAsia" w:ascii="仿宋_GB2312" w:hAnsi="微软雅黑" w:eastAsia="仿宋_GB2312" w:cs="微软雅黑"/>
          <w:color w:val="000000" w:themeColor="text1"/>
          <w:kern w:val="0"/>
          <w:sz w:val="32"/>
          <w:szCs w:val="32"/>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0"/>
          <w:sz w:val="32"/>
          <w:szCs w:val="32"/>
          <w:shd w:val="clear" w:fill="auto"/>
          <w14:textFill>
            <w14:solidFill>
              <w14:schemeClr w14:val="tx1"/>
            </w14:solidFill>
          </w14:textFill>
        </w:rPr>
        <w:t>上海航食浦东厂区航机服务部现</w:t>
      </w:r>
      <w:r>
        <w:rPr>
          <w:rFonts w:hint="eastAsia" w:ascii="仿宋_GB2312" w:hAnsi="仿宋_GB2312" w:eastAsia="仿宋_GB2312" w:cs="仿宋_GB2312"/>
          <w:i w:val="0"/>
          <w:iCs w:val="0"/>
          <w:caps w:val="0"/>
          <w:color w:val="000000" w:themeColor="text1"/>
          <w:spacing w:val="0"/>
          <w:kern w:val="0"/>
          <w:sz w:val="32"/>
          <w:szCs w:val="32"/>
          <w:shd w:val="clear" w:fill="auto"/>
          <w:lang w:val="en-US" w:eastAsia="zh-CN"/>
          <w14:textFill>
            <w14:solidFill>
              <w14:schemeClr w14:val="tx1"/>
            </w14:solidFill>
          </w14:textFill>
        </w:rPr>
        <w:t>有</w:t>
      </w:r>
      <w:r>
        <w:rPr>
          <w:rFonts w:hint="eastAsia" w:ascii="仿宋_GB2312" w:hAnsi="仿宋_GB2312" w:eastAsia="仿宋_GB2312" w:cs="仿宋_GB2312"/>
          <w:i w:val="0"/>
          <w:iCs w:val="0"/>
          <w:caps w:val="0"/>
          <w:color w:val="000000" w:themeColor="text1"/>
          <w:spacing w:val="0"/>
          <w:kern w:val="0"/>
          <w:sz w:val="32"/>
          <w:szCs w:val="32"/>
          <w:shd w:val="clear" w:fill="auto"/>
          <w14:textFill>
            <w14:solidFill>
              <w14:schemeClr w14:val="tx1"/>
            </w14:solidFill>
          </w14:textFill>
        </w:rPr>
        <w:t>高速打印机已</w:t>
      </w:r>
      <w:r>
        <w:rPr>
          <w:rFonts w:hint="eastAsia" w:ascii="仿宋_GB2312" w:hAnsi="仿宋_GB2312" w:eastAsia="仿宋_GB2312" w:cs="仿宋_GB2312"/>
          <w:i w:val="0"/>
          <w:iCs w:val="0"/>
          <w:caps w:val="0"/>
          <w:color w:val="000000" w:themeColor="text1"/>
          <w:spacing w:val="0"/>
          <w:kern w:val="0"/>
          <w:sz w:val="32"/>
          <w:szCs w:val="32"/>
          <w:shd w:val="clear" w:fill="auto"/>
          <w:lang w:val="en-US" w:eastAsia="zh-CN"/>
          <w14:textFill>
            <w14:solidFill>
              <w14:schemeClr w14:val="tx1"/>
            </w14:solidFill>
          </w14:textFill>
        </w:rPr>
        <w:t>连续</w:t>
      </w:r>
      <w:r>
        <w:rPr>
          <w:rFonts w:hint="eastAsia" w:ascii="仿宋_GB2312" w:hAnsi="仿宋_GB2312" w:eastAsia="仿宋_GB2312" w:cs="仿宋_GB2312"/>
          <w:i w:val="0"/>
          <w:iCs w:val="0"/>
          <w:caps w:val="0"/>
          <w:color w:val="000000" w:themeColor="text1"/>
          <w:spacing w:val="0"/>
          <w:kern w:val="0"/>
          <w:sz w:val="32"/>
          <w:szCs w:val="32"/>
          <w:shd w:val="clear" w:fill="auto"/>
          <w14:textFill>
            <w14:solidFill>
              <w14:schemeClr w14:val="tx1"/>
            </w14:solidFill>
          </w14:textFill>
        </w:rPr>
        <w:t>使用12年，设备严重老化，故障率持续上升，主要部件陈旧、运行状态不稳定，且维修成本居高不下。为切实保障生产运行稳定，</w:t>
      </w:r>
      <w:r>
        <w:rPr>
          <w:rFonts w:hint="eastAsia" w:ascii="仿宋_GB2312" w:hAnsi="仿宋_GB2312" w:eastAsia="仿宋_GB2312" w:cs="仿宋_GB2312"/>
          <w:i w:val="0"/>
          <w:iCs w:val="0"/>
          <w:caps w:val="0"/>
          <w:color w:val="000000" w:themeColor="text1"/>
          <w:spacing w:val="0"/>
          <w:kern w:val="0"/>
          <w:sz w:val="32"/>
          <w:szCs w:val="32"/>
          <w:shd w:val="clear" w:fill="auto"/>
          <w:lang w:val="en-US" w:eastAsia="zh-CN"/>
          <w14:textFill>
            <w14:solidFill>
              <w14:schemeClr w14:val="tx1"/>
            </w14:solidFill>
          </w14:textFill>
        </w:rPr>
        <w:t>需置换一台高速打印机</w:t>
      </w:r>
      <w:r>
        <w:rPr>
          <w:rFonts w:hint="eastAsia" w:ascii="仿宋_GB2312" w:hAnsi="仿宋_GB2312" w:eastAsia="仿宋_GB2312" w:cs="仿宋_GB2312"/>
          <w:i w:val="0"/>
          <w:iCs w:val="0"/>
          <w:caps w:val="0"/>
          <w:color w:val="000000" w:themeColor="text1"/>
          <w:spacing w:val="0"/>
          <w:kern w:val="0"/>
          <w:sz w:val="32"/>
          <w:szCs w:val="32"/>
          <w:shd w:val="clear" w:fill="auto"/>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36" w:lineRule="auto"/>
        <w:ind w:right="0" w:rightChars="0" w:firstLine="640" w:firstLineChars="200"/>
        <w:textAlignment w:val="auto"/>
        <w:outlineLvl w:val="9"/>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微软雅黑" w:eastAsia="仿宋_GB2312" w:cs="微软雅黑"/>
          <w:color w:val="000000" w:themeColor="text1"/>
          <w:kern w:val="0"/>
          <w:sz w:val="32"/>
          <w:szCs w:val="32"/>
          <w:lang w:eastAsia="zh-CN"/>
          <w14:textFill>
            <w14:solidFill>
              <w14:schemeClr w14:val="tx1"/>
            </w14:solidFill>
          </w14:textFill>
        </w:rPr>
        <w:t>（</w:t>
      </w:r>
      <w:r>
        <w:rPr>
          <w:rFonts w:hint="eastAsia" w:ascii="仿宋_GB2312" w:hAnsi="微软雅黑" w:eastAsia="仿宋_GB2312" w:cs="微软雅黑"/>
          <w:color w:val="000000" w:themeColor="text1"/>
          <w:kern w:val="0"/>
          <w:sz w:val="32"/>
          <w:szCs w:val="32"/>
          <w:lang w:val="en-US" w:eastAsia="zh-CN"/>
          <w14:textFill>
            <w14:solidFill>
              <w14:schemeClr w14:val="tx1"/>
            </w14:solidFill>
          </w14:textFill>
        </w:rPr>
        <w:t>二</w:t>
      </w:r>
      <w:r>
        <w:rPr>
          <w:rFonts w:hint="eastAsia" w:ascii="仿宋_GB2312" w:hAnsi="微软雅黑" w:eastAsia="仿宋_GB2312" w:cs="微软雅黑"/>
          <w:color w:val="000000" w:themeColor="text1"/>
          <w:kern w:val="0"/>
          <w:sz w:val="32"/>
          <w:szCs w:val="32"/>
          <w:lang w:eastAsia="zh-CN"/>
          <w14:textFill>
            <w14:solidFill>
              <w14:schemeClr w14:val="tx1"/>
            </w14:solidFill>
          </w14:textFill>
        </w:rPr>
        <w:t>）</w:t>
      </w:r>
      <w:r>
        <w:rPr>
          <w:rFonts w:hint="eastAsia" w:ascii="仿宋_GB2312" w:hAnsi="微软雅黑" w:eastAsia="仿宋_GB2312" w:cs="微软雅黑"/>
          <w:color w:val="000000" w:themeColor="text1"/>
          <w:kern w:val="0"/>
          <w:sz w:val="32"/>
          <w:szCs w:val="32"/>
          <w14:textFill>
            <w14:solidFill>
              <w14:schemeClr w14:val="tx1"/>
            </w14:solidFill>
          </w14:textFill>
        </w:rPr>
        <w:t>项目</w:t>
      </w:r>
      <w:r>
        <w:rPr>
          <w:rFonts w:hint="eastAsia" w:ascii="仿宋_GB2312" w:hAnsi="微软雅黑" w:eastAsia="仿宋_GB2312" w:cs="微软雅黑"/>
          <w:color w:val="000000" w:themeColor="text1"/>
          <w:kern w:val="0"/>
          <w:sz w:val="32"/>
          <w:szCs w:val="32"/>
          <w:lang w:val="en-US" w:eastAsia="zh-CN"/>
          <w14:textFill>
            <w14:solidFill>
              <w14:schemeClr w14:val="tx1"/>
            </w14:solidFill>
          </w14:textFill>
        </w:rPr>
        <w:t>名称</w:t>
      </w:r>
      <w:r>
        <w:rPr>
          <w:rFonts w:hint="eastAsia" w:ascii="仿宋_GB2312" w:hAnsi="微软雅黑" w:eastAsia="仿宋_GB2312" w:cs="微软雅黑"/>
          <w:color w:val="000000" w:themeColor="text1"/>
          <w:kern w:val="0"/>
          <w:sz w:val="32"/>
          <w:szCs w:val="32"/>
          <w14:textFill>
            <w14:solidFill>
              <w14:schemeClr w14:val="tx1"/>
            </w14:solidFill>
          </w14:textFill>
        </w:rPr>
        <w:t>：</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上海中航航空食品有限公司高速打印机采购项目</w:t>
      </w:r>
      <w:bookmarkStart w:id="0" w:name="_GoBack"/>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仿宋_GB2312" w:hAnsi="微软雅黑" w:eastAsia="仿宋_GB2312" w:cs="微软雅黑"/>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（三）</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付款方式：</w:t>
      </w:r>
      <w:r>
        <w:rPr>
          <w:rFonts w:hint="eastAsia" w:ascii="仿宋_GB2312" w:hAnsi="微软雅黑" w:eastAsia="仿宋_GB2312" w:cs="微软雅黑"/>
          <w:color w:val="000000" w:themeColor="text1"/>
          <w:kern w:val="0"/>
          <w:sz w:val="32"/>
          <w:szCs w:val="32"/>
          <w:highlight w:val="none"/>
          <w:lang w:val="en-US" w:eastAsia="zh-CN"/>
          <w14:textFill>
            <w14:solidFill>
              <w14:schemeClr w14:val="tx1"/>
            </w14:solidFill>
          </w14:textFill>
        </w:rPr>
        <w:t>验收</w:t>
      </w:r>
      <w:bookmarkEnd w:id="0"/>
      <w:r>
        <w:rPr>
          <w:rFonts w:hint="eastAsia" w:ascii="仿宋_GB2312" w:hAnsi="微软雅黑" w:eastAsia="仿宋_GB2312" w:cs="微软雅黑"/>
          <w:color w:val="000000" w:themeColor="text1"/>
          <w:kern w:val="0"/>
          <w:sz w:val="32"/>
          <w:szCs w:val="32"/>
          <w:highlight w:val="none"/>
          <w:lang w:val="en-US" w:eastAsia="zh-CN"/>
          <w14:textFill>
            <w14:solidFill>
              <w14:schemeClr w14:val="tx1"/>
            </w14:solidFill>
          </w14:textFill>
        </w:rPr>
        <w:t>合格并收到增值税专用发票后一个月内支付合同总价的100%。</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四</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w:t>
      </w:r>
      <w:r>
        <w:rPr>
          <w:rFonts w:hint="eastAsia" w:ascii="仿宋_GB2312" w:hAnsi="微软雅黑" w:eastAsia="仿宋_GB2312" w:cs="微软雅黑"/>
          <w:color w:val="000000" w:themeColor="text1"/>
          <w:kern w:val="0"/>
          <w:sz w:val="32"/>
          <w:szCs w:val="32"/>
          <w:highlight w:val="none"/>
          <w14:textFill>
            <w14:solidFill>
              <w14:schemeClr w14:val="tx1"/>
            </w14:solidFill>
          </w14:textFill>
        </w:rPr>
        <w:t>合同期限：</w:t>
      </w:r>
      <w:r>
        <w:rPr>
          <w:rFonts w:hint="eastAsia" w:ascii="仿宋_GB2312" w:hAnsi="微软雅黑" w:eastAsia="仿宋_GB2312" w:cs="微软雅黑"/>
          <w:color w:val="000000" w:themeColor="text1"/>
          <w:kern w:val="0"/>
          <w:sz w:val="32"/>
          <w:szCs w:val="32"/>
          <w:highlight w:val="none"/>
          <w:lang w:val="en-US" w:eastAsia="zh-CN"/>
          <w14:textFill>
            <w14:solidFill>
              <w14:schemeClr w14:val="tx1"/>
            </w14:solidFill>
          </w14:textFill>
        </w:rPr>
        <w:t>自合同签订之日起30个自然日内完成项目验收，项目验收完工后质保期12个月以上。</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五</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14:textFill>
            <w14:solidFill>
              <w14:schemeClr w14:val="tx1"/>
            </w14:solidFill>
          </w14:textFill>
        </w:rPr>
        <w:t>交付或实施的时间</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和</w:t>
      </w:r>
      <w:r>
        <w:rPr>
          <w:rFonts w:hint="eastAsia" w:ascii="仿宋_GB2312" w:hAnsi="仿宋_GB2312" w:eastAsia="仿宋_GB2312" w:cs="仿宋_GB2312"/>
          <w:color w:val="000000" w:themeColor="text1"/>
          <w:kern w:val="0"/>
          <w:sz w:val="32"/>
          <w:szCs w:val="32"/>
          <w14:textFill>
            <w14:solidFill>
              <w14:schemeClr w14:val="tx1"/>
            </w14:solidFill>
          </w14:textFill>
        </w:rPr>
        <w:t>地点：</w:t>
      </w:r>
      <w:r>
        <w:rPr>
          <w:rFonts w:hint="eastAsia" w:ascii="仿宋_GB2312" w:hAnsi="微软雅黑" w:eastAsia="仿宋_GB2312" w:cs="微软雅黑"/>
          <w:color w:val="000000" w:themeColor="text1"/>
          <w:kern w:val="0"/>
          <w:sz w:val="32"/>
          <w:szCs w:val="32"/>
          <w:lang w:val="en-US" w:eastAsia="zh-CN"/>
          <w14:textFill>
            <w14:solidFill>
              <w14:schemeClr w14:val="tx1"/>
            </w14:solidFill>
          </w14:textFill>
        </w:rPr>
        <w:t>上海市浦东新区</w:t>
      </w:r>
      <w:r>
        <w:rPr>
          <w:rFonts w:hint="eastAsia" w:ascii="仿宋_GB2312" w:hAnsi="微软雅黑" w:eastAsia="仿宋_GB2312" w:cs="微软雅黑"/>
          <w:color w:val="000000" w:themeColor="text1"/>
          <w:kern w:val="0"/>
          <w:sz w:val="32"/>
          <w:szCs w:val="32"/>
          <w14:textFill>
            <w14:solidFill>
              <w14:schemeClr w14:val="tx1"/>
            </w14:solidFill>
          </w14:textFill>
        </w:rPr>
        <w:t>领航路100号</w:t>
      </w:r>
      <w:r>
        <w:rPr>
          <w:rFonts w:hint="eastAsia" w:ascii="仿宋_GB2312" w:hAnsi="微软雅黑" w:eastAsia="仿宋_GB2312" w:cs="微软雅黑"/>
          <w:color w:val="000000" w:themeColor="text1"/>
          <w:kern w:val="0"/>
          <w:sz w:val="32"/>
          <w:szCs w:val="32"/>
          <w:lang w:eastAsia="zh-CN"/>
          <w14:textFill>
            <w14:solidFill>
              <w14:schemeClr w14:val="tx1"/>
            </w14:solidFill>
          </w14:textFill>
        </w:rPr>
        <w:t>。</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336" w:lineRule="auto"/>
        <w:ind w:leftChars="0" w:firstLine="640" w:firstLineChars="200"/>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黑体" w:hAnsi="黑体" w:eastAsia="黑体" w:cs="微软雅黑"/>
          <w:color w:val="000000" w:themeColor="text1"/>
          <w:kern w:val="0"/>
          <w:sz w:val="32"/>
          <w:szCs w:val="32"/>
          <w:lang w:val="en-US" w:eastAsia="zh-CN"/>
          <w14:textFill>
            <w14:solidFill>
              <w14:schemeClr w14:val="tx1"/>
            </w14:solidFill>
          </w14:textFill>
        </w:rPr>
        <w:t>二</w:t>
      </w:r>
      <w:r>
        <w:rPr>
          <w:rFonts w:hint="eastAsia" w:ascii="黑体" w:hAnsi="黑体" w:eastAsia="黑体" w:cs="微软雅黑"/>
          <w:color w:val="000000" w:themeColor="text1"/>
          <w:kern w:val="0"/>
          <w:sz w:val="32"/>
          <w:szCs w:val="32"/>
          <w14:textFill>
            <w14:solidFill>
              <w14:schemeClr w14:val="tx1"/>
            </w14:solidFill>
          </w14:textFill>
        </w:rPr>
        <w:t>、采购计划批复情况</w:t>
      </w:r>
      <w:r>
        <w:rPr>
          <w:rFonts w:ascii="楷体_GB2312" w:hAnsi="微软雅黑" w:eastAsia="楷体_GB2312" w:cs="微软雅黑"/>
          <w:b/>
          <w:bCs/>
          <w:color w:val="000000" w:themeColor="text1"/>
          <w:kern w:val="0"/>
          <w:sz w:val="28"/>
          <w:szCs w:val="28"/>
          <w14:textFill>
            <w14:solidFill>
              <w14:schemeClr w14:val="tx1"/>
            </w14:solidFill>
          </w14:textFill>
        </w:rPr>
        <w:br w:type="textWrapping"/>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本项目已取得的中翼航空投资有限公司对上海航食</w:t>
      </w:r>
      <w:r>
        <w:rPr>
          <w:rFonts w:hint="eastAsia" w:ascii="仿宋_GB2312" w:hAnsi="仿宋_GB2312" w:eastAsia="仿宋_GB2312" w:cs="仿宋_GB2312"/>
          <w:b w:val="0"/>
          <w:bCs w:val="0"/>
          <w:color w:val="000000" w:themeColor="text1"/>
          <w:kern w:val="0"/>
          <w:sz w:val="32"/>
          <w:szCs w:val="32"/>
          <w:highlight w:val="none"/>
          <w:lang w:val="en-US" w:eastAsia="zh-CN"/>
          <w14:textFill>
            <w14:solidFill>
              <w14:schemeClr w14:val="tx1"/>
            </w14:solidFill>
          </w14:textFill>
        </w:rPr>
        <w:t>《</w:t>
      </w:r>
      <w:r>
        <w:rPr>
          <w:rFonts w:hint="eastAsia" w:ascii="仿宋_GB2312" w:hAnsi="仿宋_GB2312" w:eastAsia="仿宋_GB2312" w:cs="仿宋_GB2312"/>
          <w:sz w:val="32"/>
          <w:szCs w:val="32"/>
          <w:highlight w:val="none"/>
        </w:rPr>
        <w:t>2026年投资计划中期调整</w:t>
      </w:r>
      <w:r>
        <w:rPr>
          <w:rFonts w:hint="eastAsia" w:ascii="仿宋_GB2312" w:hAnsi="仿宋_GB2312" w:eastAsia="仿宋_GB2312" w:cs="仿宋_GB2312"/>
          <w:b w:val="0"/>
          <w:bCs w:val="0"/>
          <w:color w:val="000000" w:themeColor="text1"/>
          <w:kern w:val="0"/>
          <w:sz w:val="32"/>
          <w:szCs w:val="32"/>
          <w:highlight w:val="none"/>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的批复。</w:t>
      </w:r>
    </w:p>
    <w:p>
      <w:pPr>
        <w:pStyle w:val="8"/>
        <w:keepNext w:val="0"/>
        <w:keepLines w:val="0"/>
        <w:pageBreakBefore w:val="0"/>
        <w:widowControl w:val="0"/>
        <w:numPr>
          <w:ilvl w:val="255"/>
          <w:numId w:val="0"/>
        </w:numPr>
        <w:kinsoku/>
        <w:wordWrap/>
        <w:overflowPunct/>
        <w:topLinePunct w:val="0"/>
        <w:autoSpaceDE/>
        <w:autoSpaceDN/>
        <w:bidi w:val="0"/>
        <w:adjustRightInd/>
        <w:snapToGrid/>
        <w:spacing w:line="336" w:lineRule="auto"/>
        <w:ind w:firstLine="640" w:firstLineChars="200"/>
        <w:textAlignment w:val="auto"/>
        <w:rPr>
          <w:rFonts w:hint="eastAsia" w:ascii="黑体" w:hAnsi="黑体" w:eastAsia="黑体" w:cs="微软雅黑"/>
          <w:color w:val="000000" w:themeColor="text1"/>
          <w:kern w:val="0"/>
          <w:sz w:val="32"/>
          <w:szCs w:val="32"/>
          <w14:textFill>
            <w14:solidFill>
              <w14:schemeClr w14:val="tx1"/>
            </w14:solidFill>
          </w14:textFill>
        </w:rPr>
      </w:pPr>
      <w:r>
        <w:rPr>
          <w:rFonts w:hint="eastAsia" w:ascii="黑体" w:hAnsi="黑体" w:eastAsia="黑体" w:cs="微软雅黑"/>
          <w:color w:val="000000" w:themeColor="text1"/>
          <w:kern w:val="0"/>
          <w:sz w:val="32"/>
          <w:szCs w:val="32"/>
          <w:lang w:val="en-US" w:eastAsia="zh-CN"/>
          <w14:textFill>
            <w14:solidFill>
              <w14:schemeClr w14:val="tx1"/>
            </w14:solidFill>
          </w14:textFill>
        </w:rPr>
        <w:t>三</w:t>
      </w:r>
      <w:r>
        <w:rPr>
          <w:rFonts w:hint="eastAsia" w:ascii="黑体" w:hAnsi="黑体" w:eastAsia="黑体" w:cs="微软雅黑"/>
          <w:color w:val="000000" w:themeColor="text1"/>
          <w:kern w:val="0"/>
          <w:sz w:val="32"/>
          <w:szCs w:val="32"/>
          <w14:textFill>
            <w14:solidFill>
              <w14:schemeClr w14:val="tx1"/>
            </w14:solidFill>
          </w14:textFill>
        </w:rPr>
        <w:t>、采购需求</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firstLine="42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微软雅黑" w:eastAsia="仿宋_GB2312" w:cs="微软雅黑"/>
          <w:color w:val="000000" w:themeColor="text1"/>
          <w:kern w:val="0"/>
          <w:sz w:val="32"/>
          <w:szCs w:val="32"/>
          <w:lang w:val="en-US" w:eastAsia="zh-CN"/>
          <w14:textFill>
            <w14:solidFill>
              <w14:schemeClr w14:val="tx1"/>
            </w14:solidFill>
          </w14:textFill>
        </w:rPr>
        <w:t>上海中航航空食品有限公司高速打印机采购</w:t>
      </w:r>
      <w:r>
        <w:rPr>
          <w:rFonts w:hint="eastAsia" w:ascii="仿宋_GB2312" w:hAnsi="微软雅黑" w:eastAsia="仿宋_GB2312" w:cs="微软雅黑"/>
          <w:color w:val="000000" w:themeColor="text1"/>
          <w:kern w:val="0"/>
          <w:sz w:val="32"/>
          <w:szCs w:val="32"/>
          <w14:textFill>
            <w14:solidFill>
              <w14:schemeClr w14:val="tx1"/>
            </w14:solidFill>
          </w14:textFill>
        </w:rPr>
        <w:t>项目</w:t>
      </w:r>
      <w:r>
        <w:rPr>
          <w:rFonts w:hint="eastAsia" w:ascii="仿宋_GB2312" w:hAnsi="微软雅黑" w:eastAsia="仿宋_GB2312" w:cs="微软雅黑"/>
          <w:color w:val="000000" w:themeColor="text1"/>
          <w:kern w:val="0"/>
          <w:sz w:val="32"/>
          <w:szCs w:val="32"/>
          <w:lang w:val="en-US" w:eastAsia="zh-CN"/>
          <w14:textFill>
            <w14:solidFill>
              <w14:schemeClr w14:val="tx1"/>
            </w14:solidFill>
          </w14:textFill>
        </w:rPr>
        <w:t>采购内容及需求如下：</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default"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（一）设备名称：高速打印机</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default"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（二）设备数量：1台</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jc w:val="both"/>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（三）设备参数要求：</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
        <w:gridCol w:w="1732"/>
        <w:gridCol w:w="5400"/>
        <w:gridCol w:w="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1</w:t>
            </w:r>
          </w:p>
        </w:tc>
        <w:tc>
          <w:tcPr>
            <w:tcW w:w="1732"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多联单</w:t>
            </w:r>
          </w:p>
        </w:tc>
        <w:tc>
          <w:tcPr>
            <w:tcW w:w="5400"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≥4联</w:t>
            </w:r>
          </w:p>
        </w:tc>
        <w:tc>
          <w:tcPr>
            <w:tcW w:w="859"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531"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2</w:t>
            </w:r>
          </w:p>
        </w:tc>
        <w:tc>
          <w:tcPr>
            <w:tcW w:w="1732"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打印速度（行数/分钟）</w:t>
            </w:r>
          </w:p>
        </w:tc>
        <w:tc>
          <w:tcPr>
            <w:tcW w:w="5400"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≥460</w:t>
            </w:r>
          </w:p>
        </w:tc>
        <w:tc>
          <w:tcPr>
            <w:tcW w:w="859"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3</w:t>
            </w:r>
          </w:p>
        </w:tc>
        <w:tc>
          <w:tcPr>
            <w:tcW w:w="1732"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highlight w:val="none"/>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vertAlign w:val="baseline"/>
                <w:lang w:val="en-US" w:eastAsia="zh-CN"/>
                <w14:textFill>
                  <w14:solidFill>
                    <w14:schemeClr w14:val="tx1"/>
                  </w14:solidFill>
                </w14:textFill>
              </w:rPr>
              <w:t>进纸速度</w:t>
            </w:r>
          </w:p>
        </w:tc>
        <w:tc>
          <w:tcPr>
            <w:tcW w:w="5400"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highlight w:val="none"/>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vertAlign w:val="baseline"/>
                <w:lang w:val="en-US" w:eastAsia="zh-CN"/>
                <w14:textFill>
                  <w14:solidFill>
                    <w14:schemeClr w14:val="tx1"/>
                  </w14:solidFill>
                </w14:textFill>
              </w:rPr>
              <w:t>≥25英寸635mm/秒</w:t>
            </w:r>
          </w:p>
        </w:tc>
        <w:tc>
          <w:tcPr>
            <w:tcW w:w="859"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4</w:t>
            </w:r>
          </w:p>
        </w:tc>
        <w:tc>
          <w:tcPr>
            <w:tcW w:w="173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噪音</w:t>
            </w:r>
          </w:p>
        </w:tc>
        <w:tc>
          <w:tcPr>
            <w:tcW w:w="540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default" w:ascii="Arial" w:hAnsi="Arial" w:eastAsia="仿宋_GB2312" w:cs="Arial"/>
                <w:color w:val="000000" w:themeColor="text1"/>
                <w:kern w:val="0"/>
                <w:sz w:val="24"/>
                <w:szCs w:val="24"/>
                <w:vertAlign w:val="baseline"/>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65</w:t>
            </w:r>
          </w:p>
        </w:tc>
        <w:tc>
          <w:tcPr>
            <w:tcW w:w="859"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5</w:t>
            </w:r>
          </w:p>
        </w:tc>
        <w:tc>
          <w:tcPr>
            <w:tcW w:w="173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both"/>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通讯接口</w:t>
            </w:r>
          </w:p>
        </w:tc>
        <w:tc>
          <w:tcPr>
            <w:tcW w:w="540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left"/>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Ethernet 10/100 Base T,USB 2.0,串口RS-232,</w:t>
            </w: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并口-IEEE-1284 Centronics</w:t>
            </w:r>
          </w:p>
        </w:tc>
        <w:tc>
          <w:tcPr>
            <w:tcW w:w="859"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6</w:t>
            </w:r>
          </w:p>
        </w:tc>
        <w:tc>
          <w:tcPr>
            <w:tcW w:w="173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图形分辨率</w:t>
            </w:r>
          </w:p>
        </w:tc>
        <w:tc>
          <w:tcPr>
            <w:tcW w:w="540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left"/>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180dpi水平方向.180dpi垂直方向</w:t>
            </w:r>
          </w:p>
        </w:tc>
        <w:tc>
          <w:tcPr>
            <w:tcW w:w="859"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7</w:t>
            </w:r>
          </w:p>
        </w:tc>
        <w:tc>
          <w:tcPr>
            <w:tcW w:w="173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仿真</w:t>
            </w:r>
          </w:p>
        </w:tc>
        <w:tc>
          <w:tcPr>
            <w:tcW w:w="540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left"/>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LQ-1600K(标配);OKI(仅GB汉字,可选]</w:t>
            </w:r>
          </w:p>
        </w:tc>
        <w:tc>
          <w:tcPr>
            <w:tcW w:w="859"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531"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8</w:t>
            </w:r>
          </w:p>
        </w:tc>
        <w:tc>
          <w:tcPr>
            <w:tcW w:w="173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240" w:firstLineChars="100"/>
              <w:jc w:val="both"/>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打印质量</w:t>
            </w:r>
          </w:p>
        </w:tc>
        <w:tc>
          <w:tcPr>
            <w:tcW w:w="540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left"/>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信函级质量,仿信函级质量，普通，</w:t>
            </w: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高速，超高速，极高速，</w:t>
            </w: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宋体(GB汉字),明体(BIG5汉字)</w:t>
            </w:r>
          </w:p>
        </w:tc>
        <w:tc>
          <w:tcPr>
            <w:tcW w:w="859"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531" w:type="dxa"/>
            <w:vMerge w:val="restart"/>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9</w:t>
            </w:r>
          </w:p>
        </w:tc>
        <w:tc>
          <w:tcPr>
            <w:tcW w:w="1732" w:type="dxa"/>
            <w:vMerge w:val="restart"/>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480" w:firstLineChars="200"/>
              <w:jc w:val="both"/>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480" w:firstLineChars="200"/>
              <w:jc w:val="both"/>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字符集</w:t>
            </w:r>
          </w:p>
        </w:tc>
        <w:tc>
          <w:tcPr>
            <w:tcW w:w="540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left"/>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GB汉字</w:t>
            </w: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w:t>
            </w: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GB18030-2000、UTF8编码的Unicode</w:t>
            </w: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 xml:space="preserve"> </w:t>
            </w:r>
          </w:p>
        </w:tc>
        <w:tc>
          <w:tcPr>
            <w:tcW w:w="859"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531"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c>
          <w:tcPr>
            <w:tcW w:w="1732" w:type="dxa"/>
            <w:vMerge w:val="continue"/>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c>
          <w:tcPr>
            <w:tcW w:w="540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left"/>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BIG5汉字:BIG5,CNS,TCA,WTEN,IBM5550,</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left"/>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TELETEXT,WANG,BIG5+,BIGE,UTF8编马的Unicode</w:t>
            </w:r>
          </w:p>
        </w:tc>
        <w:tc>
          <w:tcPr>
            <w:tcW w:w="859"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531"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c>
          <w:tcPr>
            <w:tcW w:w="1732" w:type="dxa"/>
            <w:vMerge w:val="continue"/>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c>
          <w:tcPr>
            <w:tcW w:w="540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left"/>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KS韩文:Unified Hangul Code,UHC(KSC 5601-1992);UTF8编码的Unicode</w:t>
            </w:r>
          </w:p>
        </w:tc>
        <w:tc>
          <w:tcPr>
            <w:tcW w:w="859"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531"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c>
          <w:tcPr>
            <w:tcW w:w="1732" w:type="dxa"/>
            <w:vMerge w:val="continue"/>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c>
          <w:tcPr>
            <w:tcW w:w="540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left"/>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SJIS日文:Shift JIS, UTF8编码的Unicode</w:t>
            </w:r>
          </w:p>
        </w:tc>
        <w:tc>
          <w:tcPr>
            <w:tcW w:w="859"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10</w:t>
            </w:r>
          </w:p>
        </w:tc>
        <w:tc>
          <w:tcPr>
            <w:tcW w:w="173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打印宽度</w:t>
            </w:r>
          </w:p>
        </w:tc>
        <w:tc>
          <w:tcPr>
            <w:tcW w:w="540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left"/>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13.6英寸(345毫米)</w:t>
            </w:r>
          </w:p>
        </w:tc>
        <w:tc>
          <w:tcPr>
            <w:tcW w:w="859"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11</w:t>
            </w:r>
          </w:p>
        </w:tc>
        <w:tc>
          <w:tcPr>
            <w:tcW w:w="173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介质宽度</w:t>
            </w:r>
          </w:p>
        </w:tc>
        <w:tc>
          <w:tcPr>
            <w:tcW w:w="540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left"/>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3英寸(76毫米)</w:t>
            </w: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w:t>
            </w:r>
            <w:r>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17英寸(432毫米)</w:t>
            </w:r>
          </w:p>
        </w:tc>
        <w:tc>
          <w:tcPr>
            <w:tcW w:w="859"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12</w:t>
            </w:r>
          </w:p>
        </w:tc>
        <w:tc>
          <w:tcPr>
            <w:tcW w:w="173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center"/>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进纸方式</w:t>
            </w:r>
          </w:p>
        </w:tc>
        <w:tc>
          <w:tcPr>
            <w:tcW w:w="5400"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0" w:firstLineChars="0"/>
              <w:jc w:val="left"/>
              <w:textAlignment w:val="auto"/>
              <w:rPr>
                <w:rFonts w:hint="default"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t>支持连续进纸</w:t>
            </w:r>
          </w:p>
        </w:tc>
        <w:tc>
          <w:tcPr>
            <w:tcW w:w="859" w:type="dxa"/>
          </w:tcPr>
          <w:p>
            <w:pPr>
              <w:keepNext w:val="0"/>
              <w:keepLines w:val="0"/>
              <w:pageBreakBefore w:val="0"/>
              <w:widowControl w:val="0"/>
              <w:numPr>
                <w:ilvl w:val="0"/>
                <w:numId w:val="0"/>
              </w:numPr>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24"/>
                <w:szCs w:val="24"/>
                <w:vertAlign w:val="baseline"/>
                <w:lang w:val="en-US" w:eastAsia="zh-CN"/>
                <w14:textFill>
                  <w14:solidFill>
                    <w14:schemeClr w14:val="tx1"/>
                  </w14:solidFill>
                </w14:textFill>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after="0" w:line="336" w:lineRule="auto"/>
        <w:jc w:val="both"/>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p>
    <w:p>
      <w:pPr>
        <w:keepNext w:val="0"/>
        <w:keepLines w:val="0"/>
        <w:pageBreakBefore w:val="0"/>
        <w:widowControl w:val="0"/>
        <w:numPr>
          <w:ilvl w:val="0"/>
          <w:numId w:val="1"/>
        </w:numPr>
        <w:kinsoku/>
        <w:wordWrap/>
        <w:overflowPunct/>
        <w:topLinePunct w:val="0"/>
        <w:autoSpaceDE/>
        <w:autoSpaceDN/>
        <w:bidi w:val="0"/>
        <w:adjustRightInd/>
        <w:snapToGrid/>
        <w:spacing w:after="0" w:line="336" w:lineRule="auto"/>
        <w:ind w:firstLine="640" w:firstLineChars="200"/>
        <w:jc w:val="both"/>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性能要求：</w:t>
      </w:r>
    </w:p>
    <w:p>
      <w:pPr>
        <w:keepNext w:val="0"/>
        <w:keepLines w:val="0"/>
        <w:pageBreakBefore w:val="0"/>
        <w:widowControl w:val="0"/>
        <w:numPr>
          <w:ilvl w:val="0"/>
          <w:numId w:val="0"/>
        </w:numPr>
        <w:kinsoku/>
        <w:wordWrap/>
        <w:overflowPunct/>
        <w:topLinePunct w:val="0"/>
        <w:autoSpaceDE/>
        <w:autoSpaceDN/>
        <w:bidi w:val="0"/>
        <w:adjustRightInd/>
        <w:snapToGrid/>
        <w:spacing w:after="0" w:line="336" w:lineRule="auto"/>
        <w:ind w:firstLine="640" w:firstLineChars="200"/>
        <w:jc w:val="both"/>
        <w:textAlignment w:val="auto"/>
        <w:rPr>
          <w:rFonts w:hint="default"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1.占地空间尺寸：可容纳整机尺寸长1028.7*宽685.8*高736.6mm（实际以勘测为准）</w:t>
      </w:r>
    </w:p>
    <w:p>
      <w:pPr>
        <w:pStyle w:val="9"/>
        <w:keepNext w:val="0"/>
        <w:keepLines w:val="0"/>
        <w:pageBreakBefore w:val="0"/>
        <w:widowControl w:val="0"/>
        <w:numPr>
          <w:ilvl w:val="0"/>
          <w:numId w:val="0"/>
        </w:numPr>
        <w:kinsoku/>
        <w:wordWrap/>
        <w:overflowPunct/>
        <w:topLinePunct w:val="0"/>
        <w:autoSpaceDE/>
        <w:autoSpaceDN/>
        <w:bidi w:val="0"/>
        <w:adjustRightInd/>
        <w:snapToGrid/>
        <w:spacing w:after="0" w:line="336" w:lineRule="auto"/>
        <w:ind w:firstLine="640" w:firstLineChars="200"/>
        <w:textAlignment w:val="auto"/>
        <w:rPr>
          <w:rFonts w:hint="eastAsia" w:ascii="黑体" w:hAnsi="黑体" w:eastAsia="黑体" w:cs="微软雅黑"/>
          <w:color w:val="000000" w:themeColor="text1"/>
          <w:kern w:val="0"/>
          <w:sz w:val="32"/>
          <w:szCs w:val="32"/>
          <w:lang w:val="en-US" w:eastAsia="zh-CN"/>
          <w14:textFill>
            <w14:solidFill>
              <w14:schemeClr w14:val="tx1"/>
            </w14:solidFill>
          </w14:textFill>
        </w:rPr>
      </w:pPr>
      <w:r>
        <w:rPr>
          <w:rFonts w:hint="eastAsia" w:ascii="黑体" w:hAnsi="黑体" w:eastAsia="黑体" w:cs="微软雅黑"/>
          <w:color w:val="000000" w:themeColor="text1"/>
          <w:kern w:val="0"/>
          <w:sz w:val="32"/>
          <w:szCs w:val="32"/>
          <w:lang w:val="en-US" w:eastAsia="zh-CN"/>
          <w14:textFill>
            <w14:solidFill>
              <w14:schemeClr w14:val="tx1"/>
            </w14:solidFill>
          </w14:textFill>
        </w:rPr>
        <w:t>四、服务要求</w:t>
      </w:r>
    </w:p>
    <w:p>
      <w:pPr>
        <w:keepNext w:val="0"/>
        <w:keepLines w:val="0"/>
        <w:pageBreakBefore w:val="0"/>
        <w:widowControl w:val="0"/>
        <w:kinsoku/>
        <w:wordWrap/>
        <w:overflowPunct/>
        <w:topLinePunct w:val="0"/>
        <w:autoSpaceDE/>
        <w:autoSpaceDN/>
        <w:bidi w:val="0"/>
        <w:adjustRightInd/>
        <w:snapToGrid/>
        <w:spacing w:after="0" w:line="336" w:lineRule="auto"/>
        <w:ind w:firstLine="640" w:firstLineChars="20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（一）技术服务及人员培训要求：</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1.供货商派遣技术熟练，身体健康，有3年以上工作经验的技术人员为采购方提供技术服务及人员培训。</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2.对采购方的维修人员和操作人员进行现场培训，</w:t>
      </w:r>
      <w:r>
        <w:rPr>
          <w:rFonts w:hint="default" w:ascii="仿宋_GB2312" w:hAnsi="仿宋_GB2312" w:eastAsia="仿宋_GB2312" w:cs="仿宋_GB2312"/>
          <w:color w:val="000000" w:themeColor="text1"/>
          <w:kern w:val="0"/>
          <w:sz w:val="32"/>
          <w:szCs w:val="32"/>
          <w:lang w:val="en-US" w:eastAsia="zh-CN"/>
          <w14:textFill>
            <w14:solidFill>
              <w14:schemeClr w14:val="tx1"/>
            </w14:solidFill>
          </w14:textFill>
        </w:rPr>
        <w:t>含日常运维及应急处理</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3.技术服务包含但不限于如下内容：安装、调试、试运行、培训，以及其他供货商必须提供的其他技术服务。</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firstLine="42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4.供货商的技术服务必须正确无误。由于供货商技术人员不正确的技术指导，而造成设备和材料的损失。供货商必须负责免费修理、更换和补充。</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firstLine="42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5.现场的培训</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firstLine="42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通过培训，应使采购方现场操作人员达到如下的目的：</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firstLine="42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了解设备的功能和操作使用管理方法。</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firstLine="42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了解安全操作规程和使用时必须注意的事项。</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firstLine="42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掌握常见故障发生的原因、如何排除故障等内容。</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firstLine="42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学会设备的日常保养知识。</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firstLine="42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了解设备的保护装置。</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（二）进场验收：</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1.供货商</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提供合格证和质量证明文件。</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firstLine="420"/>
        <w:textAlignment w:val="auto"/>
        <w:rPr>
          <w:rFonts w:hint="default"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2.设备到达项目现场后，供货商与采购方一起根据运单和装箱单对设备的包装、外观及件数进行清点检验。打印浓度匀称，多联页打印无差异。如发现有任何不符之处经双方代表确认属供货商责任，由供货商处理解决。当设备运到项目现场后，双方应尽快开箱检验，检验设备的数量、规格和质量。</w:t>
      </w:r>
    </w:p>
    <w:p>
      <w:pPr>
        <w:pStyle w:val="10"/>
        <w:keepNext w:val="0"/>
        <w:keepLines w:val="0"/>
        <w:pageBreakBefore w:val="0"/>
        <w:widowControl w:val="0"/>
        <w:kinsoku/>
        <w:wordWrap/>
        <w:overflowPunct/>
        <w:topLinePunct w:val="0"/>
        <w:autoSpaceDE/>
        <w:autoSpaceDN/>
        <w:bidi w:val="0"/>
        <w:adjustRightInd/>
        <w:snapToGrid/>
        <w:spacing w:before="0" w:after="0" w:line="336" w:lineRule="auto"/>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3.现场检验时，须由采购方和供货商双方组成的验收小组一起检验。如发现设备由于供货商原因（包括运输）有任何损坏、缺陷、短少或不符合合同中规定的质量标准和规范时，应做好记录，并由双方代表签字，各执一份，作为采购方向供货商提出修理、更换和索赔的依据。</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firstLine="42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4.遵守采购方公司安全管理要求：施工区域做好防护措施，安装调试好要求后交付验收。</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firstLine="42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（四）安装、调试</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left="0" w:leftChars="0" w:firstLine="640" w:firstLineChars="20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1.在设备装卸和安装施工期间，供货商须负责解决所需的起重、搬运的设备、器具、工具（包括专用工具）以及相应的保障措施。</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firstLine="420"/>
        <w:textAlignment w:val="auto"/>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2.安装人工、材料、工具、货物装卸费、运杂费、保险费、现场施工、现场原设备的拆除和中选设备的安装调试验收等应全部含在总报价中，后续不得另行增加二次搬运费用。</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3.供货商负责设备的安装工作，管线连接、电气接线。</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4.供货商应在安装后对设备进行调试、现场测试，以检验其设计制作、操作性能和功能等方面的情况，供货商应提供所有调试和试运行所需的工具、材料、及劳务。配合安装、调试，试运行所需的工具、材料及劳务均由供货</w:t>
      </w:r>
      <w:r>
        <w:rPr>
          <w:rFonts w:hint="eastAsia" w:ascii="仿宋_GB2312" w:hAnsi="仿宋_GB2312" w:eastAsia="仿宋_GB2312" w:cs="仿宋_GB2312"/>
          <w:color w:val="auto"/>
          <w:kern w:val="0"/>
          <w:sz w:val="32"/>
          <w:szCs w:val="32"/>
          <w:lang w:val="en-US" w:eastAsia="zh-CN"/>
        </w:rPr>
        <w:t>商负责准备。</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firstLine="42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（五）售后服务</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left="0" w:leftChars="0" w:firstLine="640" w:firstLineChars="20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1.质保期间由于设备质量因素而造成的损坏，均由供货商负责免费维修和更换备件。</w:t>
      </w:r>
    </w:p>
    <w:p>
      <w:pPr>
        <w:pStyle w:val="10"/>
        <w:keepNext w:val="0"/>
        <w:keepLines w:val="0"/>
        <w:pageBreakBefore w:val="0"/>
        <w:widowControl w:val="0"/>
        <w:kinsoku/>
        <w:wordWrap/>
        <w:overflowPunct/>
        <w:topLinePunct w:val="0"/>
        <w:autoSpaceDE/>
        <w:autoSpaceDN/>
        <w:bidi w:val="0"/>
        <w:adjustRightInd/>
        <w:snapToGrid/>
        <w:spacing w:before="0" w:after="0" w:line="336" w:lineRule="auto"/>
        <w:ind w:left="0" w:leftChars="0" w:firstLine="640" w:firstLineChars="200"/>
        <w:textAlignment w:val="auto"/>
        <w:rPr>
          <w:rFonts w:hint="default"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2.供货商提供</w:t>
      </w:r>
      <w:r>
        <w:rPr>
          <w:rFonts w:hint="default" w:ascii="仿宋_GB2312" w:hAnsi="仿宋_GB2312" w:eastAsia="仿宋_GB2312" w:cs="仿宋_GB2312"/>
          <w:color w:val="000000" w:themeColor="text1"/>
          <w:kern w:val="0"/>
          <w:sz w:val="32"/>
          <w:szCs w:val="32"/>
          <w:lang w:val="en-US" w:eastAsia="zh-CN"/>
          <w14:textFill>
            <w14:solidFill>
              <w14:schemeClr w14:val="tx1"/>
            </w14:solidFill>
          </w14:textFill>
        </w:rPr>
        <w:t>7×24小时技术支持</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，并能及时处理所有报修服务，</w:t>
      </w:r>
      <w:r>
        <w:rPr>
          <w:rFonts w:hint="default" w:ascii="仿宋_GB2312" w:hAnsi="仿宋_GB2312" w:eastAsia="仿宋_GB2312" w:cs="仿宋_GB2312"/>
          <w:color w:val="000000" w:themeColor="text1"/>
          <w:kern w:val="0"/>
          <w:sz w:val="32"/>
          <w:szCs w:val="32"/>
          <w:lang w:val="en-US" w:eastAsia="zh-CN"/>
          <w14:textFill>
            <w14:solidFill>
              <w14:schemeClr w14:val="tx1"/>
            </w14:solidFill>
          </w14:textFill>
        </w:rPr>
        <w:t>4小时响应</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。在接到报修通知后24小时内赶到现场，并必须连续进行维修，直至故障排除完全恢复正常服务为止。供货商在修理或更换设备的电气和机械部件，必须采用原制造厂出品的零部件。</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黑体" w:hAnsi="黑体" w:eastAsia="黑体" w:cs="微软雅黑"/>
          <w:color w:val="000000" w:themeColor="text1"/>
          <w:kern w:val="0"/>
          <w:sz w:val="32"/>
          <w:szCs w:val="32"/>
          <w:lang w:val="en-US" w:eastAsia="zh-CN"/>
          <w14:textFill>
            <w14:solidFill>
              <w14:schemeClr w14:val="tx1"/>
            </w14:solidFill>
          </w14:textFill>
        </w:rPr>
      </w:pPr>
      <w:r>
        <w:rPr>
          <w:rFonts w:hint="eastAsia" w:ascii="黑体" w:hAnsi="黑体" w:eastAsia="黑体" w:cs="微软雅黑"/>
          <w:color w:val="000000" w:themeColor="text1"/>
          <w:kern w:val="0"/>
          <w:sz w:val="32"/>
          <w:szCs w:val="32"/>
          <w:lang w:val="en-US" w:eastAsia="zh-CN"/>
          <w14:textFill>
            <w14:solidFill>
              <w14:schemeClr w14:val="tx1"/>
            </w14:solidFill>
          </w14:textFill>
        </w:rPr>
        <w:t>五、供应商资质</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具有有效期内的营业执照及相应的经营范围：办公设备销售；办公设备耗材销售。计算机软硬件开发，销售计算机、软硬件及辅助设备、电子产品、机电设备、仪器仪表、办公用品，机电设备(除特种设备)的安装维修，机械设备(除特种设备)的安装维修</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等。</w:t>
      </w:r>
    </w:p>
    <w:p>
      <w:pPr>
        <w:keepNext w:val="0"/>
        <w:keepLines w:val="0"/>
        <w:pageBreakBefore w:val="0"/>
        <w:widowControl w:val="0"/>
        <w:kinsoku/>
        <w:wordWrap/>
        <w:overflowPunct/>
        <w:topLinePunct w:val="0"/>
        <w:autoSpaceDE/>
        <w:autoSpaceDN/>
        <w:bidi w:val="0"/>
        <w:adjustRightInd/>
        <w:snapToGrid/>
        <w:spacing w:line="336" w:lineRule="auto"/>
        <w:jc w:val="right"/>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航机服务部</w:t>
      </w:r>
    </w:p>
    <w:p>
      <w:pPr>
        <w:keepNext w:val="0"/>
        <w:keepLines w:val="0"/>
        <w:pageBreakBefore w:val="0"/>
        <w:widowControl w:val="0"/>
        <w:kinsoku/>
        <w:wordWrap/>
        <w:overflowPunct/>
        <w:topLinePunct w:val="0"/>
        <w:autoSpaceDE/>
        <w:autoSpaceDN/>
        <w:bidi w:val="0"/>
        <w:adjustRightInd/>
        <w:snapToGrid/>
        <w:spacing w:line="336" w:lineRule="auto"/>
        <w:jc w:val="right"/>
        <w:textAlignment w:val="auto"/>
        <w:rPr>
          <w:rFonts w:hint="eastAsia"/>
        </w:rPr>
      </w:pPr>
      <w:r>
        <w:rPr>
          <w:rFonts w:hint="eastAsia" w:ascii="仿宋_GB2312" w:hAnsi="仿宋_GB2312" w:eastAsia="仿宋_GB2312" w:cs="仿宋_GB2312"/>
          <w:color w:val="000000" w:themeColor="text1"/>
          <w:kern w:val="0"/>
          <w:sz w:val="32"/>
          <w:szCs w:val="32"/>
          <w14:textFill>
            <w14:solidFill>
              <w14:schemeClr w14:val="tx1"/>
            </w14:solidFill>
          </w14:textFill>
        </w:rPr>
        <w:t>202</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kern w:val="0"/>
          <w:sz w:val="32"/>
          <w:szCs w:val="32"/>
          <w14:textFill>
            <w14:solidFill>
              <w14:schemeClr w14:val="tx1"/>
            </w14:solidFill>
          </w14:textFill>
        </w:rPr>
        <w:t>年</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kern w:val="0"/>
          <w:sz w:val="32"/>
          <w:szCs w:val="32"/>
          <w14:textFill>
            <w14:solidFill>
              <w14:schemeClr w14:val="tx1"/>
            </w14:solidFill>
          </w14:textFill>
        </w:rPr>
        <w:t>月</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20</w:t>
      </w:r>
      <w:r>
        <w:rPr>
          <w:rFonts w:hint="eastAsia" w:ascii="仿宋_GB2312" w:hAnsi="仿宋_GB2312" w:eastAsia="仿宋_GB2312" w:cs="仿宋_GB2312"/>
          <w:color w:val="000000" w:themeColor="text1"/>
          <w:kern w:val="0"/>
          <w:sz w:val="32"/>
          <w:szCs w:val="32"/>
          <w14:textFill>
            <w14:solidFill>
              <w14:schemeClr w14:val="tx1"/>
            </w14:solidFill>
          </w14:textFill>
        </w:rPr>
        <w:t>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99CBBB6"/>
    <w:multiLevelType w:val="singleLevel"/>
    <w:tmpl w:val="D99CBBB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0498C"/>
    <w:rsid w:val="01173073"/>
    <w:rsid w:val="019F0134"/>
    <w:rsid w:val="026D42EC"/>
    <w:rsid w:val="038B03E2"/>
    <w:rsid w:val="04450EA5"/>
    <w:rsid w:val="045D2812"/>
    <w:rsid w:val="04E63745"/>
    <w:rsid w:val="056D4FD8"/>
    <w:rsid w:val="05A26757"/>
    <w:rsid w:val="068D572B"/>
    <w:rsid w:val="06DA522C"/>
    <w:rsid w:val="09171618"/>
    <w:rsid w:val="09943C94"/>
    <w:rsid w:val="0A7046D4"/>
    <w:rsid w:val="0BAB5FC2"/>
    <w:rsid w:val="0BCB49ED"/>
    <w:rsid w:val="0DCC6EB7"/>
    <w:rsid w:val="0E5242A8"/>
    <w:rsid w:val="0F5312A9"/>
    <w:rsid w:val="0FDF0019"/>
    <w:rsid w:val="101A1313"/>
    <w:rsid w:val="117F29E2"/>
    <w:rsid w:val="11901014"/>
    <w:rsid w:val="11FC7407"/>
    <w:rsid w:val="135867FB"/>
    <w:rsid w:val="13DA081E"/>
    <w:rsid w:val="148920F8"/>
    <w:rsid w:val="15A550B6"/>
    <w:rsid w:val="16035A2E"/>
    <w:rsid w:val="17872107"/>
    <w:rsid w:val="17DD3B18"/>
    <w:rsid w:val="18D2053D"/>
    <w:rsid w:val="1A331F7A"/>
    <w:rsid w:val="1A6631F3"/>
    <w:rsid w:val="1B6E1AE3"/>
    <w:rsid w:val="1BB8466F"/>
    <w:rsid w:val="1BE96FE5"/>
    <w:rsid w:val="1E531FFF"/>
    <w:rsid w:val="1EEC34AE"/>
    <w:rsid w:val="210E17DE"/>
    <w:rsid w:val="21F63F34"/>
    <w:rsid w:val="22CB4555"/>
    <w:rsid w:val="234F7AFB"/>
    <w:rsid w:val="248C12AC"/>
    <w:rsid w:val="249C59C4"/>
    <w:rsid w:val="24B16AB6"/>
    <w:rsid w:val="29C255FB"/>
    <w:rsid w:val="2B3A2E7C"/>
    <w:rsid w:val="2B5037F7"/>
    <w:rsid w:val="2B8C5A73"/>
    <w:rsid w:val="2CA12BE3"/>
    <w:rsid w:val="2CAE14E8"/>
    <w:rsid w:val="2DAC6D36"/>
    <w:rsid w:val="2ED43F4C"/>
    <w:rsid w:val="2ED97C98"/>
    <w:rsid w:val="2EF21D91"/>
    <w:rsid w:val="2F213022"/>
    <w:rsid w:val="301D2BBD"/>
    <w:rsid w:val="304E555A"/>
    <w:rsid w:val="31C6182F"/>
    <w:rsid w:val="33824423"/>
    <w:rsid w:val="33A07369"/>
    <w:rsid w:val="33C53BFE"/>
    <w:rsid w:val="34953394"/>
    <w:rsid w:val="35CF2022"/>
    <w:rsid w:val="36217F89"/>
    <w:rsid w:val="3664106A"/>
    <w:rsid w:val="36970254"/>
    <w:rsid w:val="37424F69"/>
    <w:rsid w:val="37BA2996"/>
    <w:rsid w:val="380549F1"/>
    <w:rsid w:val="390A389B"/>
    <w:rsid w:val="3A6A2764"/>
    <w:rsid w:val="3BEE024E"/>
    <w:rsid w:val="3D1C0124"/>
    <w:rsid w:val="3D4F5A9F"/>
    <w:rsid w:val="3DCC3035"/>
    <w:rsid w:val="40182F07"/>
    <w:rsid w:val="40646303"/>
    <w:rsid w:val="40817F75"/>
    <w:rsid w:val="41CF1A5E"/>
    <w:rsid w:val="42D42983"/>
    <w:rsid w:val="448F0B24"/>
    <w:rsid w:val="475B4DD6"/>
    <w:rsid w:val="47786EF3"/>
    <w:rsid w:val="49E22DFB"/>
    <w:rsid w:val="4ABC7CAE"/>
    <w:rsid w:val="4B460BBA"/>
    <w:rsid w:val="4BB0693B"/>
    <w:rsid w:val="4C5A62E5"/>
    <w:rsid w:val="4CFE4632"/>
    <w:rsid w:val="4D3C32CF"/>
    <w:rsid w:val="4D803BCC"/>
    <w:rsid w:val="4FD328AB"/>
    <w:rsid w:val="5140221F"/>
    <w:rsid w:val="51B75F24"/>
    <w:rsid w:val="52763E94"/>
    <w:rsid w:val="530C346A"/>
    <w:rsid w:val="54D84F6F"/>
    <w:rsid w:val="551971D3"/>
    <w:rsid w:val="554F1B2E"/>
    <w:rsid w:val="555E4317"/>
    <w:rsid w:val="559E0489"/>
    <w:rsid w:val="5641672B"/>
    <w:rsid w:val="5781608F"/>
    <w:rsid w:val="587B6153"/>
    <w:rsid w:val="596E65E2"/>
    <w:rsid w:val="59BA782D"/>
    <w:rsid w:val="5A7B7356"/>
    <w:rsid w:val="5A7D410C"/>
    <w:rsid w:val="5AD65CD3"/>
    <w:rsid w:val="5C99278C"/>
    <w:rsid w:val="5D181C7B"/>
    <w:rsid w:val="5F427D18"/>
    <w:rsid w:val="5F856239"/>
    <w:rsid w:val="60695C73"/>
    <w:rsid w:val="607A5AB0"/>
    <w:rsid w:val="612715B6"/>
    <w:rsid w:val="61FF6E55"/>
    <w:rsid w:val="637741EB"/>
    <w:rsid w:val="63B452E5"/>
    <w:rsid w:val="63F961D4"/>
    <w:rsid w:val="64BC1096"/>
    <w:rsid w:val="6693013C"/>
    <w:rsid w:val="66CB2258"/>
    <w:rsid w:val="67345D97"/>
    <w:rsid w:val="67D536F9"/>
    <w:rsid w:val="67E027FB"/>
    <w:rsid w:val="68090CB1"/>
    <w:rsid w:val="6A4C68AD"/>
    <w:rsid w:val="6D4F231D"/>
    <w:rsid w:val="6D74109A"/>
    <w:rsid w:val="6F4C3377"/>
    <w:rsid w:val="707A1C80"/>
    <w:rsid w:val="70986DD1"/>
    <w:rsid w:val="70B44898"/>
    <w:rsid w:val="73D26B23"/>
    <w:rsid w:val="760B1FD5"/>
    <w:rsid w:val="76790046"/>
    <w:rsid w:val="77987566"/>
    <w:rsid w:val="77EA53A8"/>
    <w:rsid w:val="7AE7059E"/>
    <w:rsid w:val="7B5061F6"/>
    <w:rsid w:val="7CB4374B"/>
    <w:rsid w:val="7CE70173"/>
    <w:rsid w:val="7F8E3D9F"/>
    <w:rsid w:val="7FC90E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14:ligatures w14:val="none"/>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unhideWhenUsed/>
    <w:qFormat/>
    <w:uiPriority w:val="99"/>
    <w:pPr>
      <w:tabs>
        <w:tab w:val="center" w:pos="4153"/>
        <w:tab w:val="right" w:pos="8306"/>
      </w:tabs>
      <w:snapToGrid w:val="0"/>
      <w:spacing w:line="240" w:lineRule="auto"/>
      <w:jc w:val="left"/>
    </w:pPr>
    <w:rPr>
      <w:sz w:val="18"/>
      <w:szCs w:val="18"/>
      <w14:ligatures w14:val="standardContextual"/>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列表段落1"/>
    <w:basedOn w:val="1"/>
    <w:qFormat/>
    <w:uiPriority w:val="34"/>
    <w:pPr>
      <w:ind w:firstLine="420" w:firstLineChars="200"/>
    </w:pPr>
    <w:rPr>
      <w:rFonts w:ascii="等线" w:hAnsi="等线" w:eastAsia="等线" w:cs="Times New Roman"/>
    </w:rPr>
  </w:style>
  <w:style w:type="paragraph" w:styleId="9">
    <w:name w:val="List Paragraph"/>
    <w:basedOn w:val="1"/>
    <w:qFormat/>
    <w:uiPriority w:val="34"/>
    <w:pPr>
      <w:ind w:firstLine="420" w:firstLineChars="200"/>
    </w:pPr>
    <w:rPr>
      <w:rFonts w:ascii="等线" w:hAnsi="等线" w:eastAsia="等线" w:cs="Times New Roman"/>
    </w:rPr>
  </w:style>
  <w:style w:type="paragraph" w:customStyle="1" w:styleId="10">
    <w:name w:val="我的正文段落"/>
    <w:basedOn w:val="1"/>
    <w:qFormat/>
    <w:uiPriority w:val="0"/>
    <w:pPr>
      <w:spacing w:before="120" w:after="120" w:line="400" w:lineRule="exact"/>
      <w:ind w:firstLine="200" w:firstLineChars="200"/>
    </w:pPr>
    <w:rPr>
      <w:rFonts w:ascii="宋体" w:hAnsi="宋体" w:cs="宋体"/>
      <w:sz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45</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2025-10-21T05:00:00Z</dcterms:created>
  <dc:creator>XIANGYI</dc:creator>
  <cp:lastModifiedBy>韩笑然</cp:lastModifiedBy>
  <cp:lastPrinted>2026-09-20T06:30:00Z</cp:lastPrinted>
  <dcterms:modified xsi:type="dcterms:W3CDTF">2026-09-28T04:26:09Z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CB1E045D151845E2905EFF50F366AB5F_13</vt:lpwstr>
  </property>
</Properties>
</file>