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36"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上海中航航空食品有限公司</w:t>
      </w:r>
    </w:p>
    <w:p>
      <w:pPr>
        <w:spacing w:line="336"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浦东厂区一楼二楼墙面维修项目</w:t>
      </w:r>
    </w:p>
    <w:p>
      <w:pPr>
        <w:spacing w:line="336" w:lineRule="auto"/>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采购需求</w:t>
      </w:r>
    </w:p>
    <w:p>
      <w:pPr>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p>
    <w:p>
      <w:pPr>
        <w:ind w:firstLine="640" w:firstLineChars="200"/>
        <w:rPr>
          <w:rFonts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根据中翼航空投资有限公司标准采购管理规程和上海中航航空食品有限公司采购管理规定，该项目已具备采购条件。采购申请具体如下：</w:t>
      </w:r>
    </w:p>
    <w:p>
      <w:pPr>
        <w:ind w:firstLine="640" w:firstLineChars="200"/>
        <w:rPr>
          <w:rFonts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14:textFill>
            <w14:solidFill>
              <w14:schemeClr w14:val="tx1"/>
            </w14:solidFill>
          </w14:textFill>
        </w:rPr>
        <w:t>一、项目概况</w:t>
      </w:r>
    </w:p>
    <w:p>
      <w:pPr>
        <w:spacing w:line="336" w:lineRule="auto"/>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1.项目背景：</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上海航食浦东厂区老旧，一楼、二楼过道墙面部分发霉脱落、员工餐厅等部分区域吊顶石膏板老化，需进行整体翻新维修。</w:t>
      </w:r>
    </w:p>
    <w:p>
      <w:pPr>
        <w:spacing w:line="336" w:lineRule="auto"/>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2.项目名称：</w:t>
      </w:r>
      <w:r>
        <w:rPr>
          <w:rFonts w:hint="eastAsia" w:ascii="仿宋_GB2312" w:hAnsi="仿宋_GB2312" w:eastAsia="仿宋_GB2312" w:cs="仿宋_GB2312"/>
          <w:color w:val="000000" w:themeColor="text1"/>
          <w:kern w:val="0"/>
          <w:sz w:val="32"/>
          <w:szCs w:val="32"/>
          <w14:textFill>
            <w14:solidFill>
              <w14:schemeClr w14:val="tx1"/>
            </w14:solidFill>
          </w14:textFill>
        </w:rPr>
        <w:t>上海中航航空食品有限公司浦东厂区一楼二楼墙面维修项目</w:t>
      </w:r>
    </w:p>
    <w:p>
      <w:pPr>
        <w:spacing w:line="336" w:lineRule="auto"/>
        <w:ind w:firstLine="640" w:firstLineChars="200"/>
        <w:rPr>
          <w:rFonts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3.合同期限：自合同签订之日起</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12</w:t>
      </w:r>
      <w:r>
        <w:rPr>
          <w:rFonts w:hint="eastAsia" w:ascii="仿宋_GB2312" w:hAnsi="微软雅黑" w:eastAsia="仿宋_GB2312" w:cs="微软雅黑"/>
          <w:color w:val="000000" w:themeColor="text1"/>
          <w:kern w:val="0"/>
          <w:sz w:val="32"/>
          <w:szCs w:val="32"/>
          <w14:textFill>
            <w14:solidFill>
              <w14:schemeClr w14:val="tx1"/>
            </w14:solidFill>
          </w14:textFill>
        </w:rPr>
        <w:t>个月（含质保期）。</w:t>
      </w:r>
    </w:p>
    <w:p>
      <w:pPr>
        <w:spacing w:line="336" w:lineRule="auto"/>
        <w:ind w:firstLine="640" w:firstLineChars="200"/>
        <w:rPr>
          <w:rFonts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4.交付期限：</w:t>
      </w:r>
      <w:r>
        <w:rPr>
          <w:rFonts w:hint="default" w:ascii="仿宋_GB2312" w:hAnsi="微软雅黑" w:eastAsia="仿宋_GB2312" w:cs="微软雅黑"/>
          <w:color w:val="000000" w:themeColor="text1"/>
          <w:kern w:val="0"/>
          <w:sz w:val="32"/>
          <w:szCs w:val="32"/>
          <w14:textFill>
            <w14:solidFill>
              <w14:schemeClr w14:val="tx1"/>
            </w14:solidFill>
          </w14:textFill>
        </w:rPr>
        <w:t>30</w:t>
      </w:r>
      <w:r>
        <w:rPr>
          <w:rFonts w:hint="eastAsia" w:ascii="仿宋_GB2312" w:hAnsi="微软雅黑" w:eastAsia="仿宋_GB2312" w:cs="微软雅黑"/>
          <w:color w:val="000000" w:themeColor="text1"/>
          <w:kern w:val="0"/>
          <w:sz w:val="32"/>
          <w:szCs w:val="32"/>
          <w14:textFill>
            <w14:solidFill>
              <w14:schemeClr w14:val="tx1"/>
            </w14:solidFill>
          </w14:textFill>
        </w:rPr>
        <w:t>个自然日内。</w:t>
      </w:r>
    </w:p>
    <w:p>
      <w:pPr>
        <w:spacing w:line="336" w:lineRule="auto"/>
        <w:ind w:firstLine="640" w:firstLineChars="200"/>
        <w:rPr>
          <w:rFonts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5.付款方式：合同签订后预付合同总价的</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15</w:t>
      </w:r>
      <w:r>
        <w:rPr>
          <w:rFonts w:hint="eastAsia" w:ascii="仿宋_GB2312" w:hAnsi="微软雅黑" w:eastAsia="仿宋_GB2312" w:cs="微软雅黑"/>
          <w:color w:val="000000" w:themeColor="text1"/>
          <w:kern w:val="0"/>
          <w:sz w:val="32"/>
          <w:szCs w:val="32"/>
          <w14:textFill>
            <w14:solidFill>
              <w14:schemeClr w14:val="tx1"/>
            </w14:solidFill>
          </w14:textFill>
        </w:rPr>
        <w:t>%预付款</w:t>
      </w:r>
      <w:r>
        <w:rPr>
          <w:rFonts w:hint="eastAsia" w:ascii="仿宋_GB2312" w:hAnsi="微软雅黑" w:eastAsia="仿宋_GB2312" w:cs="微软雅黑"/>
          <w:color w:val="000000" w:themeColor="text1"/>
          <w:kern w:val="0"/>
          <w:sz w:val="32"/>
          <w:szCs w:val="32"/>
          <w:lang w:eastAsia="zh-CN"/>
          <w14:textFill>
            <w14:solidFill>
              <w14:schemeClr w14:val="tx1"/>
            </w14:solidFill>
          </w14:textFill>
        </w:rPr>
        <w:t>；</w:t>
      </w:r>
      <w:r>
        <w:rPr>
          <w:rFonts w:hint="eastAsia" w:ascii="仿宋_GB2312" w:hAnsi="微软雅黑" w:eastAsia="仿宋_GB2312" w:cs="微软雅黑"/>
          <w:color w:val="000000" w:themeColor="text1"/>
          <w:kern w:val="0"/>
          <w:sz w:val="32"/>
          <w:szCs w:val="32"/>
          <w14:textFill>
            <w14:solidFill>
              <w14:schemeClr w14:val="tx1"/>
            </w14:solidFill>
          </w14:textFill>
        </w:rPr>
        <w:t>乳胶漆涂装后验收合格后支付35%</w:t>
      </w:r>
      <w:r>
        <w:rPr>
          <w:rFonts w:hint="eastAsia" w:ascii="仿宋_GB2312" w:hAnsi="微软雅黑" w:eastAsia="仿宋_GB2312" w:cs="微软雅黑"/>
          <w:color w:val="000000" w:themeColor="text1"/>
          <w:kern w:val="0"/>
          <w:sz w:val="32"/>
          <w:szCs w:val="32"/>
          <w:lang w:eastAsia="zh-CN"/>
          <w14:textFill>
            <w14:solidFill>
              <w14:schemeClr w14:val="tx1"/>
            </w14:solidFill>
          </w14:textFill>
        </w:rPr>
        <w:t>；</w:t>
      </w:r>
      <w:r>
        <w:rPr>
          <w:rFonts w:hint="eastAsia" w:ascii="仿宋_GB2312" w:hAnsi="微软雅黑" w:eastAsia="仿宋_GB2312" w:cs="微软雅黑"/>
          <w:color w:val="000000" w:themeColor="text1"/>
          <w:kern w:val="0"/>
          <w:sz w:val="32"/>
          <w:szCs w:val="32"/>
          <w14:textFill>
            <w14:solidFill>
              <w14:schemeClr w14:val="tx1"/>
            </w14:solidFill>
          </w14:textFill>
        </w:rPr>
        <w:t>墙面乳胶漆涂装施工完成、经整体竣工验收合格且完成为期一个月试运行</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后</w:t>
      </w:r>
      <w:r>
        <w:rPr>
          <w:rFonts w:hint="eastAsia" w:ascii="仿宋_GB2312" w:hAnsi="微软雅黑" w:eastAsia="仿宋_GB2312" w:cs="微软雅黑"/>
          <w:color w:val="000000" w:themeColor="text1"/>
          <w:kern w:val="0"/>
          <w:sz w:val="32"/>
          <w:szCs w:val="32"/>
          <w14:textFill>
            <w14:solidFill>
              <w14:schemeClr w14:val="tx1"/>
            </w14:solidFill>
          </w14:textFill>
        </w:rPr>
        <w:t>支付合同总价4</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7</w:t>
      </w:r>
      <w:r>
        <w:rPr>
          <w:rFonts w:hint="eastAsia" w:ascii="仿宋_GB2312" w:hAnsi="微软雅黑" w:eastAsia="仿宋_GB2312" w:cs="微软雅黑"/>
          <w:color w:val="000000" w:themeColor="text1"/>
          <w:kern w:val="0"/>
          <w:sz w:val="32"/>
          <w:szCs w:val="32"/>
          <w14:textFill>
            <w14:solidFill>
              <w14:schemeClr w14:val="tx1"/>
            </w14:solidFill>
          </w14:textFill>
        </w:rPr>
        <w:t>%；待质保期满且无任何质量问题30日内支付剩余的</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3</w:t>
      </w:r>
      <w:r>
        <w:rPr>
          <w:rFonts w:hint="eastAsia" w:ascii="仿宋_GB2312" w:hAnsi="微软雅黑" w:eastAsia="仿宋_GB2312" w:cs="微软雅黑"/>
          <w:color w:val="000000" w:themeColor="text1"/>
          <w:kern w:val="0"/>
          <w:sz w:val="32"/>
          <w:szCs w:val="32"/>
          <w14:textFill>
            <w14:solidFill>
              <w14:schemeClr w14:val="tx1"/>
            </w14:solidFill>
          </w14:textFill>
        </w:rPr>
        <w:t>%。每次付款前要求供应商提供增值税专用发票，并保证发票的真实性。</w:t>
      </w:r>
    </w:p>
    <w:p>
      <w:pPr>
        <w:spacing w:line="336" w:lineRule="auto"/>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6</w:t>
      </w:r>
      <w:r>
        <w:rPr>
          <w:rFonts w:hint="eastAsia" w:ascii="仿宋_GB2312" w:hAnsi="微软雅黑" w:eastAsia="仿宋_GB2312" w:cs="微软雅黑"/>
          <w:color w:val="000000" w:themeColor="text1"/>
          <w:kern w:val="0"/>
          <w:sz w:val="32"/>
          <w:szCs w:val="32"/>
          <w14:textFill>
            <w14:solidFill>
              <w14:schemeClr w14:val="tx1"/>
            </w14:solidFill>
          </w14:textFill>
        </w:rPr>
        <w:t>.项目地点：浦东新区领航路100号。</w:t>
      </w:r>
    </w:p>
    <w:p>
      <w:pPr>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7.执行标准：本项目所有材料、施工、验收均须严格遵守以下国家及行业规范，未列明内容按现行最新国标、行标执行：</w:t>
      </w:r>
    </w:p>
    <w:p>
      <w:pPr>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《建筑用墙面涂料中有害物质限量》（GB 18582-2020）</w:t>
      </w:r>
    </w:p>
    <w:p>
      <w:pPr>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《合成树脂乳液内墙涂料》（GB/T 9756-2018）</w:t>
      </w:r>
    </w:p>
    <w:p>
      <w:pPr>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《建筑装饰装修工程质量验收标准》（GB 50210-2018）</w:t>
      </w:r>
    </w:p>
    <w:p>
      <w:pPr>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《民用建筑工程室内环境污染控制标准》（GB 50325-2020）</w:t>
      </w:r>
    </w:p>
    <w:p>
      <w:pPr>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《建筑施工现场环境与卫生标准》（JGJ 146-2013）</w:t>
      </w:r>
    </w:p>
    <w:p>
      <w:pPr>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8</w:t>
      </w:r>
      <w:bookmarkStart w:id="0" w:name="_GoBack"/>
      <w:bookmarkEnd w:id="0"/>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.验收标准：涂料产品型号、规格、数量、包装与合同一致，无结块、霉变、严重分层等质量缺陷；产品资料齐全，各项指标符合 GB/T 9756-2018、GB 18582-2020 标准；施工完成后漆膜均匀，墙面平整、无色差、起皮、脱落等问题，符合 GB 50210-2018 及工装验收要求；</w:t>
      </w:r>
    </w:p>
    <w:p>
      <w:pPr>
        <w:ind w:firstLine="640" w:firstLineChars="200"/>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二</w:t>
      </w:r>
      <w:r>
        <w:rPr>
          <w:rFonts w:hint="eastAsia" w:ascii="黑体" w:hAnsi="黑体" w:eastAsia="黑体" w:cs="微软雅黑"/>
          <w:color w:val="000000" w:themeColor="text1"/>
          <w:kern w:val="0"/>
          <w:sz w:val="32"/>
          <w:szCs w:val="32"/>
          <w14:textFill>
            <w14:solidFill>
              <w14:schemeClr w14:val="tx1"/>
            </w14:solidFill>
          </w14:textFill>
        </w:rPr>
        <w:t>、</w:t>
      </w:r>
      <w:r>
        <w:rPr>
          <w:rFonts w:hint="eastAsia" w:ascii="黑体" w:hAnsi="黑体" w:eastAsia="黑体" w:cs="微软雅黑"/>
          <w:color w:val="000000" w:themeColor="text1"/>
          <w:kern w:val="0"/>
          <w:sz w:val="32"/>
          <w:szCs w:val="32"/>
          <w:lang w:val="en-US" w:eastAsia="zh-CN"/>
          <w14:textFill>
            <w14:solidFill>
              <w14:schemeClr w14:val="tx1"/>
            </w14:solidFill>
          </w14:textFill>
        </w:rPr>
        <w:t>采购需求</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所有报名供应商须统一集中踏勘现场；针对本项目工程量、技术要求、报价规则等内容有异议的，需在三个工作日内以书面形式向采购方提出，逾期未提出视为默认全部采购要求</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2.本项目为全闭口全包模式，包工、包料、包辅材、包运输、包卸货、包人工、包现场保洁、包垃圾清运、包高空作业、包墙面铲除、挂网、调色、脚手架搭设等全部工作内容，无任何增项、无隐形收费，</w:t>
      </w:r>
    </w:p>
    <w:p>
      <w:pPr>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（一）涂料产品采购要求</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1.产品规格</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项目采购产品为工程专用内墙乳胶漆，基础为白色，具备调色能力，项目使用颜色为浅灰色，最终颜色以色样经甲方确认后方可生产供货。产品性能、质量须满足本合同约定全部技术参数及国家现行有效标准的相关要求。</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2.资质与溯源</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供应商须提供产品原厂供货证明或正规授权书，保证产品为全新正品；涂料生产日期距交付日期不得超过 6 个月，采用原厂密封包装。</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3.核心技术参数</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环保：VOC 含量符合 GB 18582-2020 强制标准；</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耐擦洗性：≥10000 次，满足 GB/T 9756‑2018 优等品指标；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对比率（白色基料）：≥0.95；</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干燥时间：表干≤2 小时，实干≤24 小时；</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适配基层：可直接用于水泥砂浆、石膏板、腻子等常规内墙基层。</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4.随货资料</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到货同步提供产品合格证、第三方检测报告、产品说明书、安全技术说明书（MSDS）、批次合格证。</w:t>
      </w:r>
    </w:p>
    <w:p>
      <w:pPr>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(二)墙面维修施工内容</w:t>
      </w:r>
    </w:p>
    <w:p>
      <w:pPr>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施工总面积：</w:t>
      </w:r>
      <w:r>
        <w:rPr>
          <w:rFonts w:hint="eastAsia" w:ascii="仿宋_GB2312" w:hAnsi="仿宋_GB2312" w:eastAsia="仿宋_GB2312" w:cs="仿宋_GB2312"/>
          <w:sz w:val="32"/>
          <w:szCs w:val="32"/>
          <w:lang w:val="en-US" w:eastAsia="zh-CN"/>
        </w:rPr>
        <w:t>2800</w:t>
      </w:r>
      <w:r>
        <w:rPr>
          <w:rFonts w:hint="default" w:ascii="仿宋_GB2312" w:hAnsi="仿宋_GB2312" w:eastAsia="仿宋_GB2312" w:cs="仿宋_GB2312"/>
          <w:sz w:val="32"/>
          <w:szCs w:val="32"/>
          <w:lang w:val="en-US" w:eastAsia="zh-CN"/>
        </w:rPr>
        <w:t>㎡（墙</w:t>
      </w:r>
      <w:r>
        <w:rPr>
          <w:rFonts w:hint="eastAsia" w:ascii="仿宋_GB2312" w:hAnsi="仿宋_GB2312" w:eastAsia="仿宋_GB2312" w:cs="仿宋_GB2312"/>
          <w:sz w:val="32"/>
          <w:szCs w:val="32"/>
          <w:lang w:val="en-US" w:eastAsia="zh-CN"/>
        </w:rPr>
        <w:t>面</w:t>
      </w:r>
      <w:r>
        <w:rPr>
          <w:rFonts w:hint="default" w:ascii="仿宋_GB2312" w:hAnsi="仿宋_GB2312" w:eastAsia="仿宋_GB2312" w:cs="仿宋_GB2312"/>
          <w:sz w:val="32"/>
          <w:szCs w:val="32"/>
          <w:lang w:val="en-US" w:eastAsia="zh-CN"/>
        </w:rPr>
        <w:t>整体翻新施工）</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500</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（石膏板吊顶涂料施工面积）</w:t>
      </w:r>
      <w:r>
        <w:rPr>
          <w:rFonts w:hint="default" w:ascii="仿宋_GB2312" w:hAnsi="仿宋_GB2312" w:eastAsia="仿宋_GB2312" w:cs="仿宋_GB2312"/>
          <w:sz w:val="32"/>
          <w:szCs w:val="32"/>
          <w:lang w:eastAsia="zh-CN"/>
        </w:rPr>
        <w:t>=3300</w:t>
      </w:r>
      <w:r>
        <w:rPr>
          <w:rFonts w:hint="default" w:ascii="仿宋_GB2312" w:hAnsi="仿宋_GB2312" w:eastAsia="仿宋_GB2312" w:cs="仿宋_GB2312"/>
          <w:sz w:val="32"/>
          <w:szCs w:val="32"/>
          <w:lang w:val="en-US" w:eastAsia="zh-CN"/>
        </w:rPr>
        <w:t>㎡</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完整施工工序</w:t>
      </w:r>
      <w:r>
        <w:rPr>
          <w:rFonts w:hint="eastAsia" w:ascii="仿宋_GB2312" w:hAnsi="仿宋_GB2312" w:eastAsia="仿宋_GB2312" w:cs="仿宋_GB2312"/>
          <w:sz w:val="32"/>
          <w:szCs w:val="32"/>
          <w:lang w:val="en-US" w:eastAsia="zh-CN"/>
        </w:rPr>
        <w:t>：</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基层清理除尘、孔洞、空鼓</w:t>
      </w:r>
      <w:r>
        <w:rPr>
          <w:rFonts w:hint="eastAsia" w:ascii="仿宋_GB2312" w:hAnsi="仿宋_GB2312" w:eastAsia="仿宋_GB2312" w:cs="仿宋_GB2312"/>
          <w:sz w:val="32"/>
          <w:szCs w:val="32"/>
          <w:lang w:val="en-US" w:eastAsia="zh-CN"/>
        </w:rPr>
        <w:t>铲除</w:t>
      </w:r>
      <w:r>
        <w:rPr>
          <w:rFonts w:hint="default" w:ascii="仿宋_GB2312" w:hAnsi="仿宋_GB2312" w:eastAsia="仿宋_GB2312" w:cs="仿宋_GB2312"/>
          <w:sz w:val="32"/>
          <w:szCs w:val="32"/>
          <w:lang w:val="en-US" w:eastAsia="zh-CN"/>
        </w:rPr>
        <w:t>修补→</w:t>
      </w:r>
      <w:r>
        <w:rPr>
          <w:rFonts w:hint="eastAsia" w:ascii="仿宋_GB2312" w:hAnsi="仿宋_GB2312" w:eastAsia="仿宋_GB2312" w:cs="仿宋_GB2312"/>
          <w:sz w:val="32"/>
          <w:szCs w:val="32"/>
          <w:lang w:val="en-US" w:eastAsia="zh-CN"/>
        </w:rPr>
        <w:t>修补处</w:t>
      </w:r>
      <w:r>
        <w:rPr>
          <w:rFonts w:hint="default" w:ascii="仿宋_GB2312" w:hAnsi="仿宋_GB2312" w:eastAsia="仿宋_GB2312" w:cs="仿宋_GB2312"/>
          <w:sz w:val="32"/>
          <w:szCs w:val="32"/>
          <w:lang w:val="en-US" w:eastAsia="zh-CN"/>
        </w:rPr>
        <w:t>批刮两遍工装耐水腻子并精细打磨→整体滚涂一遍抗碱封闭底漆→涂刷两遍环保工程乳胶漆面漆（含各色调色）；配套使用滚筒、毛刷、砂纸、保护膜、美纹纸等全套辅材。</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配套工作</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包含材料短途搬运、层高 3.6 米以上高空作业、脚手架搭设、现场保洁、施工垃圾袋装清运、工程损耗、现场管理、人工等全部内容。</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施工、送货均需配合厂区生产安排，主动避开生产高峰区域与高峰时段，采取分段施工、现场防护等措施，不得影响厂区正常生产运营。</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施工全过程遵守建筑施工现场安全、环保规范，落实扬尘、废弃物管控要求，符合 JGJ 146-2013 标准。</w:t>
      </w:r>
    </w:p>
    <w:p>
      <w:pPr>
        <w:ind w:firstLine="640" w:firstLineChars="200"/>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（三）</w:t>
      </w:r>
      <w:r>
        <w:rPr>
          <w:rFonts w:hint="default" w:ascii="方正楷体_GBK" w:hAnsi="方正楷体_GBK" w:eastAsia="方正楷体_GBK" w:cs="方正楷体_GBK"/>
          <w:sz w:val="32"/>
          <w:szCs w:val="32"/>
          <w:lang w:val="en-US" w:eastAsia="zh-CN"/>
        </w:rPr>
        <w:t>服务要求</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本项目涂料供应、现场施工全部由供应商独立完成，采购方不参与涂料调配、涂刷等相关作业，具体要求如下：</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供货及配送：供应商负责将全部涂料、辅材运送至厂区指定位置，完成卸货、堆放，节假日可正常送货。送货及施工人员须严格遵守厂区安全管理规定，进入作业区域必须佩戴安全帽、反光背心。</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现场施工服务：供应商全权负责全流程施工组织、现场管理、安全管控、成品保护、垃圾清运等工作，严格按照约定工序、工期及规范标准完成全部施工内容，施工期间主动避让厂区生产高峰，采取分段作业、</w:t>
      </w:r>
      <w:r>
        <w:rPr>
          <w:rFonts w:hint="default" w:ascii="仿宋_GB2312" w:hAnsi="仿宋_GB2312" w:eastAsia="仿宋_GB2312" w:cs="仿宋_GB2312"/>
          <w:sz w:val="32"/>
          <w:szCs w:val="32"/>
          <w:lang w:eastAsia="zh-CN"/>
        </w:rPr>
        <w:t>全时段分段施工（选择一段做隔离后施工，完成后再选择下一段，具体以甲方安排为准）</w:t>
      </w:r>
      <w:r>
        <w:rPr>
          <w:rFonts w:hint="default" w:ascii="仿宋_GB2312" w:hAnsi="仿宋_GB2312" w:eastAsia="仿宋_GB2312" w:cs="仿宋_GB2312"/>
          <w:sz w:val="32"/>
          <w:szCs w:val="32"/>
          <w:lang w:val="en-US" w:eastAsia="zh-CN"/>
        </w:rPr>
        <w:t>现场防护等措施，不得影响厂区正常运营。</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质保服务：整体质保期 12 个月（自项目整体验收合格之日起计算）。质保期内，凡因产品质量、施工工艺引发的墙面起皮、脱落、开裂、涂料结块失效等问题，供应商须在 7 日内免费完成维修、返工及产品更换。</w:t>
      </w:r>
    </w:p>
    <w:p>
      <w:pPr>
        <w:ind w:firstLine="640" w:firstLineChars="200"/>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三、供应商资质要求</w:t>
      </w:r>
    </w:p>
    <w:p>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供应商须持有有效期内营业执照，经营范围包含建筑装饰装修施工等与本项目相关内容。</w:t>
      </w: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附件：工程量清单</w:t>
      </w:r>
    </w:p>
    <w:tbl>
      <w:tblPr>
        <w:tblStyle w:val="3"/>
        <w:tblW w:w="9158" w:type="dxa"/>
        <w:tblInd w:w="-6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441"/>
        <w:gridCol w:w="2742"/>
        <w:gridCol w:w="1611"/>
        <w:gridCol w:w="33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1" w:hRule="atLeast"/>
        </w:trPr>
        <w:tc>
          <w:tcPr>
            <w:tcW w:w="144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274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16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33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1" w:hRule="atLeast"/>
        </w:trPr>
        <w:tc>
          <w:tcPr>
            <w:tcW w:w="144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74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空鼓墙面局部剔凿修补</w:t>
            </w:r>
          </w:p>
        </w:tc>
        <w:tc>
          <w:tcPr>
            <w:tcW w:w="16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33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1" w:hRule="atLeast"/>
        </w:trPr>
        <w:tc>
          <w:tcPr>
            <w:tcW w:w="144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74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墙面面漆两遍滚涂</w:t>
            </w:r>
          </w:p>
        </w:tc>
        <w:tc>
          <w:tcPr>
            <w:tcW w:w="16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33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1" w:hRule="atLeast"/>
        </w:trPr>
        <w:tc>
          <w:tcPr>
            <w:tcW w:w="144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74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清洁卫生费</w:t>
            </w:r>
          </w:p>
        </w:tc>
        <w:tc>
          <w:tcPr>
            <w:tcW w:w="16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33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1" w:hRule="atLeast"/>
        </w:trPr>
        <w:tc>
          <w:tcPr>
            <w:tcW w:w="144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4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施工现场防护</w:t>
            </w:r>
          </w:p>
        </w:tc>
        <w:tc>
          <w:tcPr>
            <w:tcW w:w="16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33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1" w:hRule="atLeast"/>
        </w:trPr>
        <w:tc>
          <w:tcPr>
            <w:tcW w:w="144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74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吊顶面漆两遍涂料</w:t>
            </w:r>
          </w:p>
        </w:tc>
        <w:tc>
          <w:tcPr>
            <w:tcW w:w="16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33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500</w:t>
            </w:r>
          </w:p>
        </w:tc>
      </w:tr>
    </w:tbl>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r>
        <w:drawing>
          <wp:inline distT="0" distB="0" distL="114300" distR="114300">
            <wp:extent cx="4950460" cy="3514090"/>
            <wp:effectExtent l="0" t="0" r="254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950460" cy="3514090"/>
                    </a:xfrm>
                    <a:prstGeom prst="rect">
                      <a:avLst/>
                    </a:prstGeom>
                    <a:noFill/>
                    <a:ln>
                      <a:noFill/>
                    </a:ln>
                  </pic:spPr>
                </pic:pic>
              </a:graphicData>
            </a:graphic>
          </wp:inline>
        </w:drawing>
      </w:r>
    </w:p>
    <w:p>
      <w:pPr>
        <w:ind w:firstLine="0" w:firstLineChars="0"/>
        <w:rPr>
          <w:rFonts w:hint="default" w:ascii="仿宋_GB2312" w:hAnsi="仿宋_GB2312" w:eastAsia="仿宋_GB2312" w:cs="仿宋_GB2312"/>
          <w:sz w:val="32"/>
          <w:szCs w:val="32"/>
          <w:lang w:val="en-US" w:eastAsia="zh-CN"/>
        </w:rPr>
      </w:pPr>
      <w:r>
        <w:drawing>
          <wp:inline distT="0" distB="0" distL="114300" distR="114300">
            <wp:extent cx="5236845" cy="3611245"/>
            <wp:effectExtent l="0" t="0" r="190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36845" cy="361124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AF1290"/>
    <w:rsid w:val="00A31CF4"/>
    <w:rsid w:val="0B8A332A"/>
    <w:rsid w:val="0DF91ADD"/>
    <w:rsid w:val="0EE5D13D"/>
    <w:rsid w:val="18CE5DA3"/>
    <w:rsid w:val="1DF300CA"/>
    <w:rsid w:val="1EF03395"/>
    <w:rsid w:val="262F2548"/>
    <w:rsid w:val="32285495"/>
    <w:rsid w:val="35845079"/>
    <w:rsid w:val="3D2463D7"/>
    <w:rsid w:val="4EF66516"/>
    <w:rsid w:val="584356F0"/>
    <w:rsid w:val="5D037BBC"/>
    <w:rsid w:val="63372542"/>
    <w:rsid w:val="66AF1290"/>
    <w:rsid w:val="69987C63"/>
    <w:rsid w:val="6EDB6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2026-06-12T09:31:00Z</dcterms:created>
  <dc:creator>郭永红</dc:creator>
  <cp:lastModifiedBy>Vicky</cp:lastModifiedBy>
  <cp:lastPrinted>2026-06-15T14:39:00Z</cp:lastPrinted>
  <dcterms:modified xsi:type="dcterms:W3CDTF">2026-08-17T05:56:04Z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38FA5F5A27F17802CB2D7C6A6FDE949D_43</vt:lpwstr>
  </property>
</Properties>
</file>