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s="仿宋_GB2312"/>
          <w:kern w:val="0"/>
          <w:sz w:val="44"/>
          <w:szCs w:val="44"/>
          <w:lang w:val="en-US" w:eastAsia="zh-CN"/>
        </w:rPr>
      </w:pPr>
      <w:r>
        <w:rPr>
          <w:rFonts w:hint="eastAsia" w:ascii="方正小标宋简体" w:eastAsia="方正小标宋简体" w:cs="仿宋_GB2312"/>
          <w:kern w:val="0"/>
          <w:sz w:val="44"/>
          <w:szCs w:val="44"/>
          <w:lang w:val="en-US" w:eastAsia="zh-CN"/>
        </w:rPr>
        <w:t>上海中航航空食品有限公司</w:t>
      </w:r>
    </w:p>
    <w:p>
      <w:pPr>
        <w:jc w:val="center"/>
        <w:rPr>
          <w:rFonts w:hint="eastAsia" w:ascii="方正小标宋简体" w:eastAsia="方正小标宋简体" w:cs="仿宋_GB2312"/>
          <w:kern w:val="0"/>
          <w:sz w:val="44"/>
          <w:szCs w:val="44"/>
          <w:lang w:val="en-US" w:eastAsia="zh-CN"/>
        </w:rPr>
      </w:pPr>
      <w:r>
        <w:rPr>
          <w:rFonts w:hint="eastAsia" w:ascii="方正小标宋简体" w:eastAsia="方正小标宋简体" w:cs="仿宋_GB2312"/>
          <w:kern w:val="0"/>
          <w:sz w:val="44"/>
          <w:szCs w:val="44"/>
          <w:lang w:val="en-US" w:eastAsia="zh-CN"/>
        </w:rPr>
        <w:t>（SC）车间标准化设施设备改造项目</w:t>
      </w:r>
    </w:p>
    <w:p>
      <w:pPr>
        <w:jc w:val="center"/>
        <w:rPr>
          <w:rFonts w:hint="eastAsia" w:ascii="方正小标宋简体" w:eastAsia="方正小标宋简体" w:cs="仿宋_GB2312"/>
          <w:kern w:val="0"/>
          <w:sz w:val="44"/>
          <w:szCs w:val="44"/>
          <w:lang w:val="en-US" w:eastAsia="zh-CN"/>
        </w:rPr>
      </w:pPr>
      <w:r>
        <w:rPr>
          <w:rFonts w:hint="eastAsia" w:ascii="方正小标宋简体" w:eastAsia="方正小标宋简体" w:cs="仿宋_GB2312"/>
          <w:kern w:val="0"/>
          <w:sz w:val="44"/>
          <w:szCs w:val="44"/>
          <w:lang w:val="en-US" w:eastAsia="zh-CN"/>
        </w:rPr>
        <w:t>采购需求</w:t>
      </w:r>
    </w:p>
    <w:p>
      <w:pPr>
        <w:spacing w:line="336" w:lineRule="auto"/>
        <w:ind w:firstLine="640" w:firstLineChars="200"/>
        <w:rPr>
          <w:rFonts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根据中翼航空投资有限公司标准采购管理规程和上海中航航空食品有限公司采购管理规定，该项目已具备采购条件。采购申请具体如下：</w:t>
      </w:r>
    </w:p>
    <w:p>
      <w:pPr>
        <w:pStyle w:val="12"/>
        <w:numPr>
          <w:ilvl w:val="-1"/>
          <w:numId w:val="0"/>
        </w:numPr>
        <w:adjustRightInd w:val="0"/>
        <w:spacing w:line="336" w:lineRule="auto"/>
        <w:ind w:leftChars="0"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一、</w:t>
      </w:r>
      <w:r>
        <w:rPr>
          <w:rFonts w:hint="eastAsia" w:ascii="黑体" w:hAnsi="黑体" w:eastAsia="黑体" w:cs="微软雅黑"/>
          <w:color w:val="000000" w:themeColor="text1"/>
          <w:kern w:val="0"/>
          <w:sz w:val="32"/>
          <w:szCs w:val="32"/>
          <w14:textFill>
            <w14:solidFill>
              <w14:schemeClr w14:val="tx1"/>
            </w14:solidFill>
          </w14:textFill>
        </w:rPr>
        <w:t>项目概况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36" w:lineRule="auto"/>
        <w:ind w:left="0" w:leftChars="0" w:right="0" w:firstLine="640" w:firstLineChars="200"/>
        <w:jc w:val="left"/>
        <w:textAlignment w:val="auto"/>
        <w:rPr>
          <w:rFonts w:hint="default"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1.项目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背景</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kern w:val="0"/>
          <w:sz w:val="32"/>
          <w:szCs w:val="32"/>
          <w:lang w:val="en-US" w:eastAsia="zh-CN" w:bidi="ar"/>
        </w:rPr>
        <w:t>公司现有食品经营资质仅可开展机场红线内现制现售及航空配餐供应业务，未取得食品生产许可证（SC），不具备预包装食品生产、场外流通、社会化零售、线上电商及社会化零售经营资格。经营高度依赖航空主业，受航班淡旺季波动影响显著，市场化创收渠道有限，企业抗风险能力及可持续发展动能不足。为有效盘活存量闲置资产、突破资质经营瓶颈、培育企业全新利润增长点，亟需首次申领食品生产许可证（SC）（糕点类），开发航空特色手工烘焙预包装产品，打通线上线下市场化销售渠道，培育全新、稳定的增量利润增长点。为申领食品生产许可证（SC），公司需对原有生产车间进行</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SC车间标准化改造，符合</w:t>
      </w:r>
      <w:r>
        <w:rPr>
          <w:rFonts w:hint="eastAsia" w:ascii="仿宋_GB2312" w:hAnsi="仿宋_GB2312" w:eastAsia="仿宋_GB2312" w:cs="仿宋_GB2312"/>
          <w:color w:val="000000"/>
          <w:kern w:val="0"/>
          <w:sz w:val="32"/>
          <w:szCs w:val="32"/>
          <w:lang w:val="en-US" w:eastAsia="zh-CN" w:bidi="ar"/>
        </w:rPr>
        <w:t>食品生产许可证（SC）车间的相关要求</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w:t>
      </w:r>
    </w:p>
    <w:p>
      <w:pPr>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2.项目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名称</w:t>
      </w:r>
      <w:r>
        <w:rPr>
          <w:rFonts w:hint="eastAsia" w:ascii="仿宋_GB2312" w:hAnsi="微软雅黑" w:eastAsia="仿宋_GB2312" w:cs="微软雅黑"/>
          <w:color w:val="000000" w:themeColor="text1"/>
          <w:kern w:val="0"/>
          <w:sz w:val="32"/>
          <w:szCs w:val="32"/>
          <w14:textFill>
            <w14:solidFill>
              <w14:schemeClr w14:val="tx1"/>
            </w14:solidFill>
          </w14:textFill>
        </w:rPr>
        <w:t>：上海中航航空食品有限公司</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（SC）车间标准化设施设备改造项目</w:t>
      </w:r>
    </w:p>
    <w:p>
      <w:pPr>
        <w:pStyle w:val="4"/>
        <w:spacing w:line="336" w:lineRule="auto"/>
        <w:ind w:firstLine="640" w:firstLineChars="200"/>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3</w:t>
      </w:r>
      <w:r>
        <w:rPr>
          <w:rFonts w:hint="eastAsia" w:ascii="仿宋_GB2312" w:hAnsi="微软雅黑" w:eastAsia="仿宋_GB2312" w:cs="微软雅黑"/>
          <w:color w:val="000000" w:themeColor="text1"/>
          <w:kern w:val="0"/>
          <w:sz w:val="32"/>
          <w:szCs w:val="32"/>
          <w14:textFill>
            <w14:solidFill>
              <w14:schemeClr w14:val="tx1"/>
            </w14:solidFill>
          </w14:textFill>
        </w:rPr>
        <w:t>.合同期限：</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自合同签订至双方在合同项下各自全部义务履行完毕后终止</w:t>
      </w:r>
      <w:r>
        <w:rPr>
          <w:rFonts w:hint="eastAsia"/>
          <w:lang w:val="en-US" w:eastAsia="zh-CN"/>
        </w:rPr>
        <w:t>。</w:t>
      </w:r>
    </w:p>
    <w:p>
      <w:pPr>
        <w:pStyle w:val="4"/>
        <w:spacing w:line="336" w:lineRule="auto"/>
        <w:ind w:firstLine="640" w:firstLineChars="200"/>
        <w:rPr>
          <w:rFonts w:hint="default"/>
          <w:lang w:val="en-US" w:eastAsia="zh-CN"/>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14:textFill>
            <w14:solidFill>
              <w14:schemeClr w14:val="tx1"/>
            </w14:solidFill>
          </w14:textFill>
        </w:rPr>
        <w:t>.交付期限：</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90个自然日</w:t>
      </w:r>
    </w:p>
    <w:p>
      <w:pPr>
        <w:spacing w:line="336" w:lineRule="auto"/>
        <w:ind w:firstLine="640" w:firstLineChars="200"/>
        <w:rPr>
          <w:rFonts w:hint="default"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5</w:t>
      </w:r>
      <w:r>
        <w:rPr>
          <w:rFonts w:hint="eastAsia" w:ascii="仿宋_GB2312" w:hAnsi="微软雅黑" w:eastAsia="仿宋_GB2312" w:cs="微软雅黑"/>
          <w:color w:val="000000" w:themeColor="text1"/>
          <w:kern w:val="0"/>
          <w:sz w:val="32"/>
          <w:szCs w:val="32"/>
          <w14:textFill>
            <w14:solidFill>
              <w14:schemeClr w14:val="tx1"/>
            </w14:solidFill>
          </w14:textFill>
        </w:rPr>
        <w:t>.</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质保期：1年(含)以上</w:t>
      </w:r>
    </w:p>
    <w:p>
      <w:pPr>
        <w:spacing w:line="336" w:lineRule="auto"/>
        <w:ind w:firstLine="640" w:firstLineChars="200"/>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6.</w:t>
      </w:r>
      <w:r>
        <w:rPr>
          <w:rFonts w:hint="eastAsia" w:ascii="仿宋_GB2312" w:hAnsi="微软雅黑" w:eastAsia="仿宋_GB2312" w:cs="微软雅黑"/>
          <w:color w:val="000000" w:themeColor="text1"/>
          <w:kern w:val="0"/>
          <w:sz w:val="32"/>
          <w:szCs w:val="32"/>
          <w14:textFill>
            <w14:solidFill>
              <w14:schemeClr w14:val="tx1"/>
            </w14:solidFill>
          </w14:textFill>
        </w:rPr>
        <w:t>付款方式：</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合同签订后预付合同总价的15%，验收合格并收到增值税专用发票后一个月内支付合同总价的82%，质保期到期后支付剩余的3%。</w:t>
      </w:r>
    </w:p>
    <w:p>
      <w:pPr>
        <w:spacing w:line="336" w:lineRule="auto"/>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7</w:t>
      </w:r>
      <w:r>
        <w:rPr>
          <w:rFonts w:hint="eastAsia" w:ascii="仿宋_GB2312" w:hAnsi="微软雅黑" w:eastAsia="仿宋_GB2312" w:cs="微软雅黑"/>
          <w:color w:val="000000" w:themeColor="text1"/>
          <w:kern w:val="0"/>
          <w:sz w:val="32"/>
          <w:szCs w:val="32"/>
          <w14:textFill>
            <w14:solidFill>
              <w14:schemeClr w14:val="tx1"/>
            </w14:solidFill>
          </w14:textFill>
        </w:rPr>
        <w:t>.项目地点：</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上海浦东新区</w:t>
      </w:r>
      <w:r>
        <w:rPr>
          <w:rFonts w:hint="eastAsia" w:ascii="仿宋_GB2312" w:hAnsi="微软雅黑" w:eastAsia="仿宋_GB2312" w:cs="微软雅黑"/>
          <w:color w:val="000000" w:themeColor="text1"/>
          <w:kern w:val="0"/>
          <w:sz w:val="32"/>
          <w:szCs w:val="32"/>
          <w14:textFill>
            <w14:solidFill>
              <w14:schemeClr w14:val="tx1"/>
            </w14:solidFill>
          </w14:textFill>
        </w:rPr>
        <w:t>领航路100号</w:t>
      </w:r>
    </w:p>
    <w:p>
      <w:pPr>
        <w:numPr>
          <w:ilvl w:val="0"/>
          <w:numId w:val="0"/>
        </w:numPr>
        <w:spacing w:beforeLines="0" w:afterLines="0" w:line="336" w:lineRule="auto"/>
        <w:ind w:firstLine="640" w:firstLineChars="200"/>
        <w:jc w:val="left"/>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8</w:t>
      </w:r>
      <w:bookmarkStart w:id="0" w:name="_GoBack"/>
      <w:bookmarkEnd w:id="0"/>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.执行标准：</w:t>
      </w:r>
    </w:p>
    <w:tbl>
      <w:tblPr>
        <w:tblStyle w:val="10"/>
        <w:tblW w:w="8188"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920"/>
        <w:gridCol w:w="2268"/>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84" w:hRule="atLeast"/>
          <w:jc w:val="center"/>
        </w:trPr>
        <w:tc>
          <w:tcPr>
            <w:tcW w:w="5920" w:type="dxa"/>
            <w:vAlign w:val="center"/>
          </w:tcPr>
          <w:p>
            <w:pPr>
              <w:adjustRightInd w:val="0"/>
              <w:snapToGrid w:val="0"/>
              <w:spacing w:line="336" w:lineRule="auto"/>
              <w:jc w:val="center"/>
              <w:rPr>
                <w:rFonts w:hint="eastAsia" w:hAnsi="宋体"/>
                <w:snapToGrid w:val="0"/>
                <w:kern w:val="0"/>
                <w:sz w:val="24"/>
                <w:szCs w:val="24"/>
              </w:rPr>
            </w:pPr>
            <w:r>
              <w:rPr>
                <w:rFonts w:hint="eastAsia" w:hAnsi="宋体"/>
                <w:snapToGrid w:val="0"/>
                <w:kern w:val="0"/>
                <w:sz w:val="24"/>
                <w:szCs w:val="24"/>
              </w:rPr>
              <w:t>规范名称</w:t>
            </w:r>
          </w:p>
        </w:tc>
        <w:tc>
          <w:tcPr>
            <w:tcW w:w="2268" w:type="dxa"/>
            <w:vAlign w:val="center"/>
          </w:tcPr>
          <w:p>
            <w:pPr>
              <w:adjustRightInd w:val="0"/>
              <w:snapToGrid w:val="0"/>
              <w:spacing w:line="336" w:lineRule="auto"/>
              <w:jc w:val="center"/>
              <w:rPr>
                <w:rFonts w:hint="eastAsia" w:hAnsi="宋体"/>
                <w:snapToGrid w:val="0"/>
                <w:kern w:val="0"/>
                <w:sz w:val="24"/>
                <w:szCs w:val="24"/>
              </w:rPr>
            </w:pPr>
            <w:r>
              <w:rPr>
                <w:rFonts w:hint="eastAsia" w:hAnsi="宋体"/>
                <w:snapToGrid w:val="0"/>
                <w:kern w:val="0"/>
                <w:sz w:val="24"/>
                <w:szCs w:val="24"/>
              </w:rPr>
              <w:t>编号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97" w:hRule="atLeast"/>
          <w:jc w:val="center"/>
        </w:trPr>
        <w:tc>
          <w:tcPr>
            <w:tcW w:w="5920" w:type="dxa"/>
            <w:vAlign w:val="center"/>
          </w:tcPr>
          <w:p>
            <w:pPr>
              <w:adjustRightInd w:val="0"/>
              <w:snapToGrid w:val="0"/>
              <w:spacing w:line="336" w:lineRule="auto"/>
              <w:jc w:val="both"/>
              <w:rPr>
                <w:rFonts w:hint="eastAsia" w:hAnsi="宋体"/>
                <w:snapToGrid w:val="0"/>
                <w:kern w:val="0"/>
                <w:sz w:val="24"/>
                <w:szCs w:val="24"/>
              </w:rPr>
            </w:pPr>
            <w:r>
              <w:rPr>
                <w:rFonts w:hint="eastAsia" w:hAnsi="宋体"/>
                <w:snapToGrid w:val="0"/>
                <w:kern w:val="0"/>
                <w:sz w:val="24"/>
                <w:szCs w:val="24"/>
                <w:lang w:val="en-US" w:eastAsia="zh-CN"/>
              </w:rPr>
              <w:t>《</w:t>
            </w:r>
            <w:r>
              <w:rPr>
                <w:rFonts w:hint="default" w:hAnsi="宋体"/>
                <w:snapToGrid w:val="0"/>
                <w:kern w:val="0"/>
                <w:sz w:val="24"/>
                <w:szCs w:val="24"/>
                <w:lang w:val="en-US" w:eastAsia="zh-CN"/>
              </w:rPr>
              <w:t>航空食品卫生规范</w:t>
            </w:r>
            <w:r>
              <w:rPr>
                <w:rFonts w:hint="eastAsia" w:hAnsi="宋体"/>
                <w:snapToGrid w:val="0"/>
                <w:kern w:val="0"/>
                <w:sz w:val="24"/>
                <w:szCs w:val="24"/>
                <w:lang w:val="en-US" w:eastAsia="zh-CN"/>
              </w:rPr>
              <w:t>》</w:t>
            </w:r>
          </w:p>
        </w:tc>
        <w:tc>
          <w:tcPr>
            <w:tcW w:w="2268" w:type="dxa"/>
            <w:vAlign w:val="center"/>
          </w:tcPr>
          <w:p>
            <w:pPr>
              <w:adjustRightInd w:val="0"/>
              <w:snapToGrid w:val="0"/>
              <w:spacing w:line="336" w:lineRule="auto"/>
              <w:jc w:val="both"/>
              <w:rPr>
                <w:rFonts w:hint="default" w:hAnsi="宋体"/>
                <w:snapToGrid w:val="0"/>
                <w:kern w:val="0"/>
                <w:sz w:val="24"/>
                <w:szCs w:val="24"/>
                <w:lang w:val="en-US" w:eastAsia="zh-CN"/>
              </w:rPr>
            </w:pPr>
            <w:r>
              <w:rPr>
                <w:rFonts w:hint="eastAsia" w:hAnsi="宋体"/>
                <w:snapToGrid w:val="0"/>
                <w:kern w:val="0"/>
                <w:sz w:val="24"/>
                <w:szCs w:val="24"/>
                <w:lang w:val="en-US" w:eastAsia="zh-CN"/>
              </w:rPr>
              <w:t>GB 31641-2016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6" w:hRule="atLeast"/>
          <w:jc w:val="center"/>
        </w:trPr>
        <w:tc>
          <w:tcPr>
            <w:tcW w:w="5920" w:type="dxa"/>
            <w:vAlign w:val="center"/>
          </w:tcPr>
          <w:p>
            <w:pPr>
              <w:adjustRightInd w:val="0"/>
              <w:snapToGrid w:val="0"/>
              <w:spacing w:line="336" w:lineRule="auto"/>
              <w:jc w:val="both"/>
              <w:rPr>
                <w:rFonts w:hint="eastAsia" w:hAnsi="宋体"/>
                <w:snapToGrid w:val="0"/>
                <w:kern w:val="0"/>
                <w:sz w:val="24"/>
                <w:szCs w:val="24"/>
                <w:lang w:val="en-US" w:eastAsia="zh-CN"/>
              </w:rPr>
            </w:pPr>
            <w:r>
              <w:rPr>
                <w:rFonts w:hint="eastAsia" w:hAnsi="宋体"/>
                <w:snapToGrid w:val="0"/>
                <w:kern w:val="0"/>
                <w:sz w:val="24"/>
                <w:szCs w:val="24"/>
                <w:lang w:val="en-US" w:eastAsia="zh-CN"/>
              </w:rPr>
              <w:t>《食品安全国家标准 食品生产通用卫生规范》</w:t>
            </w:r>
          </w:p>
        </w:tc>
        <w:tc>
          <w:tcPr>
            <w:tcW w:w="2268" w:type="dxa"/>
            <w:vAlign w:val="center"/>
          </w:tcPr>
          <w:p>
            <w:pPr>
              <w:adjustRightInd w:val="0"/>
              <w:snapToGrid w:val="0"/>
              <w:spacing w:line="336" w:lineRule="auto"/>
              <w:jc w:val="both"/>
              <w:rPr>
                <w:rFonts w:hint="eastAsia" w:hAnsi="宋体"/>
                <w:snapToGrid w:val="0"/>
                <w:kern w:val="0"/>
                <w:sz w:val="24"/>
                <w:szCs w:val="24"/>
                <w:lang w:val="en-US" w:eastAsia="zh-CN"/>
              </w:rPr>
            </w:pPr>
            <w:r>
              <w:rPr>
                <w:rFonts w:hint="eastAsia" w:hAnsi="宋体"/>
                <w:snapToGrid w:val="0"/>
                <w:kern w:val="0"/>
                <w:sz w:val="24"/>
                <w:szCs w:val="24"/>
                <w:lang w:val="en-US" w:eastAsia="zh-CN"/>
              </w:rPr>
              <w:t>GB 14881-2025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6" w:hRule="atLeast"/>
          <w:jc w:val="center"/>
        </w:trPr>
        <w:tc>
          <w:tcPr>
            <w:tcW w:w="5920" w:type="dxa"/>
            <w:vAlign w:val="center"/>
          </w:tcPr>
          <w:p>
            <w:pPr>
              <w:adjustRightInd w:val="0"/>
              <w:snapToGrid w:val="0"/>
              <w:spacing w:line="336" w:lineRule="auto"/>
              <w:jc w:val="both"/>
              <w:rPr>
                <w:rFonts w:hint="eastAsia" w:hAnsi="宋体"/>
                <w:snapToGrid w:val="0"/>
                <w:kern w:val="0"/>
                <w:sz w:val="24"/>
                <w:szCs w:val="24"/>
              </w:rPr>
            </w:pPr>
            <w:r>
              <w:rPr>
                <w:rFonts w:hint="eastAsia" w:hAnsi="宋体"/>
                <w:snapToGrid w:val="0"/>
                <w:kern w:val="0"/>
                <w:sz w:val="24"/>
                <w:szCs w:val="24"/>
                <w:lang w:val="en-US" w:eastAsia="zh-CN"/>
              </w:rPr>
              <w:t>《民用建筑通用规范》</w:t>
            </w:r>
          </w:p>
        </w:tc>
        <w:tc>
          <w:tcPr>
            <w:tcW w:w="2268" w:type="dxa"/>
            <w:vAlign w:val="center"/>
          </w:tcPr>
          <w:p>
            <w:pPr>
              <w:adjustRightInd w:val="0"/>
              <w:snapToGrid w:val="0"/>
              <w:spacing w:line="336" w:lineRule="auto"/>
              <w:jc w:val="both"/>
              <w:rPr>
                <w:rFonts w:hint="eastAsia" w:hAnsi="宋体"/>
                <w:snapToGrid w:val="0"/>
                <w:kern w:val="0"/>
                <w:sz w:val="24"/>
                <w:szCs w:val="24"/>
                <w:lang w:val="en-US" w:eastAsia="zh-CN"/>
              </w:rPr>
            </w:pPr>
            <w:r>
              <w:rPr>
                <w:rFonts w:hint="eastAsia" w:hAnsi="宋体"/>
                <w:snapToGrid w:val="0"/>
                <w:kern w:val="0"/>
                <w:sz w:val="24"/>
                <w:szCs w:val="24"/>
                <w:lang w:val="en-US" w:eastAsia="zh-CN"/>
              </w:rPr>
              <w:t>GB55031-2022</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6" w:hRule="atLeast"/>
          <w:jc w:val="center"/>
        </w:trPr>
        <w:tc>
          <w:tcPr>
            <w:tcW w:w="5920" w:type="dxa"/>
            <w:vAlign w:val="center"/>
          </w:tcPr>
          <w:p>
            <w:pPr>
              <w:adjustRightInd w:val="0"/>
              <w:snapToGrid w:val="0"/>
              <w:spacing w:line="336" w:lineRule="auto"/>
              <w:jc w:val="both"/>
              <w:rPr>
                <w:rFonts w:hint="eastAsia" w:hAnsi="宋体"/>
                <w:snapToGrid w:val="0"/>
                <w:kern w:val="0"/>
                <w:sz w:val="24"/>
                <w:szCs w:val="24"/>
                <w:lang w:val="en-US" w:eastAsia="zh-CN"/>
              </w:rPr>
            </w:pPr>
            <w:r>
              <w:rPr>
                <w:rFonts w:hint="eastAsia" w:hAnsi="宋体"/>
                <w:snapToGrid w:val="0"/>
                <w:kern w:val="0"/>
                <w:sz w:val="24"/>
                <w:szCs w:val="24"/>
                <w:lang w:val="en-US" w:eastAsia="zh-CN"/>
              </w:rPr>
              <w:t>《民用建筑工程室内环境污染控制标准》</w:t>
            </w:r>
          </w:p>
        </w:tc>
        <w:tc>
          <w:tcPr>
            <w:tcW w:w="2268" w:type="dxa"/>
            <w:vAlign w:val="center"/>
          </w:tcPr>
          <w:p>
            <w:pPr>
              <w:adjustRightInd w:val="0"/>
              <w:snapToGrid w:val="0"/>
              <w:spacing w:line="336" w:lineRule="auto"/>
              <w:jc w:val="both"/>
              <w:rPr>
                <w:rFonts w:hint="eastAsia" w:hAnsi="宋体"/>
                <w:snapToGrid w:val="0"/>
                <w:kern w:val="0"/>
                <w:sz w:val="24"/>
                <w:szCs w:val="24"/>
                <w:lang w:val="en-US" w:eastAsia="zh-CN"/>
              </w:rPr>
            </w:pPr>
            <w:r>
              <w:rPr>
                <w:rFonts w:hint="eastAsia" w:hAnsi="宋体"/>
                <w:snapToGrid w:val="0"/>
                <w:kern w:val="0"/>
                <w:sz w:val="24"/>
                <w:szCs w:val="24"/>
                <w:lang w:val="en-US" w:eastAsia="zh-CN"/>
              </w:rPr>
              <w:t>GB50325-2020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83" w:hRule="atLeast"/>
          <w:jc w:val="center"/>
        </w:trPr>
        <w:tc>
          <w:tcPr>
            <w:tcW w:w="5920" w:type="dxa"/>
            <w:vAlign w:val="center"/>
          </w:tcPr>
          <w:p>
            <w:pPr>
              <w:adjustRightInd w:val="0"/>
              <w:snapToGrid w:val="0"/>
              <w:spacing w:line="336" w:lineRule="auto"/>
              <w:jc w:val="both"/>
              <w:rPr>
                <w:rFonts w:hint="eastAsia" w:hAnsi="宋体"/>
                <w:snapToGrid w:val="0"/>
                <w:kern w:val="0"/>
                <w:sz w:val="24"/>
                <w:szCs w:val="24"/>
                <w:lang w:val="en-US" w:eastAsia="zh-CN"/>
              </w:rPr>
            </w:pPr>
            <w:r>
              <w:rPr>
                <w:rFonts w:hint="eastAsia" w:hAnsi="宋体"/>
                <w:snapToGrid w:val="0"/>
                <w:kern w:val="0"/>
                <w:sz w:val="24"/>
                <w:szCs w:val="24"/>
                <w:lang w:val="en-US" w:eastAsia="zh-CN"/>
              </w:rPr>
              <w:t>《民用建筑电气设计标准》</w:t>
            </w:r>
          </w:p>
        </w:tc>
        <w:tc>
          <w:tcPr>
            <w:tcW w:w="2268" w:type="dxa"/>
            <w:vAlign w:val="center"/>
          </w:tcPr>
          <w:p>
            <w:pPr>
              <w:adjustRightInd w:val="0"/>
              <w:snapToGrid w:val="0"/>
              <w:spacing w:line="336" w:lineRule="auto"/>
              <w:jc w:val="both"/>
              <w:rPr>
                <w:rFonts w:hint="default" w:hAnsi="宋体"/>
                <w:snapToGrid w:val="0"/>
                <w:kern w:val="0"/>
                <w:sz w:val="24"/>
                <w:szCs w:val="24"/>
                <w:lang w:val="en-US" w:eastAsia="zh-CN"/>
              </w:rPr>
            </w:pPr>
            <w:r>
              <w:rPr>
                <w:rFonts w:hint="eastAsia" w:hAnsi="宋体"/>
                <w:snapToGrid w:val="0"/>
                <w:kern w:val="0"/>
                <w:sz w:val="24"/>
                <w:szCs w:val="24"/>
                <w:lang w:val="en-US" w:eastAsia="zh-CN"/>
              </w:rPr>
              <w:t>GB 51348-2019</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93" w:hRule="atLeast"/>
          <w:jc w:val="center"/>
        </w:trPr>
        <w:tc>
          <w:tcPr>
            <w:tcW w:w="5920" w:type="dxa"/>
            <w:vAlign w:val="center"/>
          </w:tcPr>
          <w:p>
            <w:pPr>
              <w:adjustRightInd w:val="0"/>
              <w:snapToGrid w:val="0"/>
              <w:spacing w:line="336" w:lineRule="auto"/>
              <w:jc w:val="both"/>
              <w:rPr>
                <w:rFonts w:hint="eastAsia" w:hAnsi="宋体"/>
                <w:snapToGrid w:val="0"/>
                <w:kern w:val="0"/>
                <w:sz w:val="24"/>
                <w:szCs w:val="24"/>
              </w:rPr>
            </w:pPr>
            <w:r>
              <w:rPr>
                <w:rFonts w:hint="eastAsia" w:hAnsi="宋体"/>
                <w:snapToGrid w:val="0"/>
                <w:kern w:val="0"/>
                <w:sz w:val="24"/>
                <w:szCs w:val="24"/>
                <w:lang w:val="en-US" w:eastAsia="zh-CN"/>
              </w:rPr>
              <w:t>《建筑环境通用规范》</w:t>
            </w:r>
          </w:p>
        </w:tc>
        <w:tc>
          <w:tcPr>
            <w:tcW w:w="2268" w:type="dxa"/>
            <w:vAlign w:val="center"/>
          </w:tcPr>
          <w:p>
            <w:pPr>
              <w:adjustRightInd w:val="0"/>
              <w:snapToGrid w:val="0"/>
              <w:spacing w:line="336" w:lineRule="auto"/>
              <w:jc w:val="both"/>
              <w:rPr>
                <w:rFonts w:hint="default" w:hAnsi="宋体"/>
                <w:snapToGrid w:val="0"/>
                <w:kern w:val="0"/>
                <w:sz w:val="24"/>
                <w:szCs w:val="24"/>
                <w:lang w:val="en-US" w:eastAsia="zh-CN"/>
              </w:rPr>
            </w:pPr>
            <w:r>
              <w:rPr>
                <w:rFonts w:hint="eastAsia" w:hAnsi="宋体"/>
                <w:snapToGrid w:val="0"/>
                <w:kern w:val="0"/>
                <w:sz w:val="24"/>
                <w:szCs w:val="24"/>
                <w:lang w:val="en-US" w:eastAsia="zh-CN"/>
              </w:rPr>
              <w:t>GB55016-2021</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06" w:hRule="atLeast"/>
          <w:jc w:val="center"/>
        </w:trPr>
        <w:tc>
          <w:tcPr>
            <w:tcW w:w="5920" w:type="dxa"/>
            <w:vAlign w:val="center"/>
          </w:tcPr>
          <w:p>
            <w:pPr>
              <w:adjustRightInd w:val="0"/>
              <w:snapToGrid w:val="0"/>
              <w:spacing w:line="336" w:lineRule="auto"/>
              <w:jc w:val="both"/>
              <w:rPr>
                <w:rFonts w:hint="eastAsia" w:hAnsi="宋体"/>
                <w:snapToGrid w:val="0"/>
                <w:kern w:val="0"/>
                <w:sz w:val="24"/>
                <w:szCs w:val="24"/>
              </w:rPr>
            </w:pPr>
            <w:r>
              <w:rPr>
                <w:rFonts w:hint="eastAsia" w:hAnsi="宋体"/>
                <w:snapToGrid w:val="0"/>
                <w:kern w:val="0"/>
                <w:sz w:val="24"/>
                <w:szCs w:val="24"/>
              </w:rPr>
              <w:t>《建筑用金属面绝热夹芯板》</w:t>
            </w:r>
          </w:p>
        </w:tc>
        <w:tc>
          <w:tcPr>
            <w:tcW w:w="2268" w:type="dxa"/>
            <w:vAlign w:val="center"/>
          </w:tcPr>
          <w:p>
            <w:pPr>
              <w:adjustRightInd w:val="0"/>
              <w:snapToGrid w:val="0"/>
              <w:spacing w:line="336" w:lineRule="auto"/>
              <w:jc w:val="both"/>
              <w:rPr>
                <w:rFonts w:hint="default" w:hAnsi="宋体" w:eastAsiaTheme="minorEastAsia"/>
                <w:snapToGrid w:val="0"/>
                <w:kern w:val="0"/>
                <w:sz w:val="24"/>
                <w:szCs w:val="24"/>
                <w:lang w:val="en-US" w:eastAsia="zh-CN"/>
              </w:rPr>
            </w:pPr>
            <w:r>
              <w:rPr>
                <w:rFonts w:hint="eastAsia" w:hAnsi="宋体"/>
                <w:snapToGrid w:val="0"/>
                <w:kern w:val="0"/>
                <w:sz w:val="24"/>
                <w:szCs w:val="24"/>
              </w:rPr>
              <w:t>GB/T23932</w:t>
            </w:r>
            <w:r>
              <w:rPr>
                <w:rFonts w:hint="eastAsia" w:hAnsi="宋体"/>
                <w:snapToGrid w:val="0"/>
                <w:kern w:val="0"/>
                <w:sz w:val="24"/>
                <w:szCs w:val="24"/>
                <w:lang w:val="en-US" w:eastAsia="zh-CN"/>
              </w:rPr>
              <w:t>-2009</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50" w:hRule="atLeast"/>
          <w:jc w:val="center"/>
        </w:trPr>
        <w:tc>
          <w:tcPr>
            <w:tcW w:w="5920" w:type="dxa"/>
            <w:vAlign w:val="center"/>
          </w:tcPr>
          <w:p>
            <w:pPr>
              <w:adjustRightInd w:val="0"/>
              <w:snapToGrid w:val="0"/>
              <w:spacing w:line="336" w:lineRule="auto"/>
              <w:jc w:val="both"/>
              <w:rPr>
                <w:rFonts w:hint="eastAsia" w:hAnsi="宋体" w:asciiTheme="minorHAnsi" w:eastAsiaTheme="minorEastAsia" w:cstheme="minorBidi"/>
                <w:snapToGrid w:val="0"/>
                <w:kern w:val="0"/>
                <w:sz w:val="24"/>
                <w:szCs w:val="24"/>
                <w:lang w:val="en-US" w:eastAsia="zh-CN" w:bidi="ar-SA"/>
              </w:rPr>
            </w:pPr>
            <w:r>
              <w:rPr>
                <w:rFonts w:hint="eastAsia" w:hAnsi="宋体"/>
                <w:snapToGrid w:val="0"/>
                <w:kern w:val="0"/>
                <w:sz w:val="24"/>
                <w:szCs w:val="24"/>
              </w:rPr>
              <w:t>《建筑工程施工质量验收统一标准》</w:t>
            </w:r>
          </w:p>
        </w:tc>
        <w:tc>
          <w:tcPr>
            <w:tcW w:w="2268" w:type="dxa"/>
            <w:vAlign w:val="center"/>
          </w:tcPr>
          <w:p>
            <w:pPr>
              <w:adjustRightInd w:val="0"/>
              <w:snapToGrid w:val="0"/>
              <w:spacing w:line="336" w:lineRule="auto"/>
              <w:jc w:val="both"/>
              <w:rPr>
                <w:rFonts w:hint="default" w:hAnsi="宋体" w:asciiTheme="minorHAnsi" w:eastAsiaTheme="minorEastAsia" w:cstheme="minorBidi"/>
                <w:snapToGrid w:val="0"/>
                <w:kern w:val="0"/>
                <w:sz w:val="24"/>
                <w:szCs w:val="24"/>
                <w:lang w:val="en-US" w:eastAsia="zh-CN" w:bidi="ar-SA"/>
              </w:rPr>
            </w:pPr>
            <w:r>
              <w:rPr>
                <w:rFonts w:hint="eastAsia" w:hAnsi="宋体"/>
                <w:snapToGrid w:val="0"/>
                <w:kern w:val="0"/>
                <w:sz w:val="24"/>
                <w:szCs w:val="24"/>
              </w:rPr>
              <w:t>GB50300</w:t>
            </w:r>
            <w:r>
              <w:rPr>
                <w:rFonts w:hint="eastAsia" w:hAnsi="宋体"/>
                <w:snapToGrid w:val="0"/>
                <w:kern w:val="0"/>
                <w:sz w:val="24"/>
                <w:szCs w:val="24"/>
                <w:lang w:val="en-US" w:eastAsia="zh-CN"/>
              </w:rPr>
              <w:t>-2013</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05" w:hRule="atLeast"/>
          <w:jc w:val="center"/>
        </w:trPr>
        <w:tc>
          <w:tcPr>
            <w:tcW w:w="5920" w:type="dxa"/>
            <w:vAlign w:val="center"/>
          </w:tcPr>
          <w:p>
            <w:pPr>
              <w:adjustRightInd w:val="0"/>
              <w:snapToGrid w:val="0"/>
              <w:spacing w:line="336" w:lineRule="auto"/>
              <w:jc w:val="both"/>
              <w:rPr>
                <w:rFonts w:hint="eastAsia" w:hAnsi="宋体" w:asciiTheme="minorHAnsi" w:eastAsiaTheme="minorEastAsia" w:cstheme="minorBidi"/>
                <w:snapToGrid w:val="0"/>
                <w:kern w:val="0"/>
                <w:sz w:val="24"/>
                <w:szCs w:val="24"/>
                <w:lang w:val="en-US" w:eastAsia="zh-CN" w:bidi="ar-SA"/>
              </w:rPr>
            </w:pPr>
            <w:r>
              <w:rPr>
                <w:rFonts w:hint="eastAsia" w:hAnsi="宋体"/>
                <w:snapToGrid w:val="0"/>
                <w:kern w:val="0"/>
                <w:sz w:val="24"/>
                <w:szCs w:val="24"/>
              </w:rPr>
              <w:t>《建筑节能工程施工质量验收标准》</w:t>
            </w:r>
          </w:p>
        </w:tc>
        <w:tc>
          <w:tcPr>
            <w:tcW w:w="2268" w:type="dxa"/>
            <w:vAlign w:val="center"/>
          </w:tcPr>
          <w:p>
            <w:pPr>
              <w:adjustRightInd w:val="0"/>
              <w:snapToGrid w:val="0"/>
              <w:spacing w:line="336" w:lineRule="auto"/>
              <w:jc w:val="both"/>
              <w:rPr>
                <w:rFonts w:hint="eastAsia" w:hAnsi="宋体" w:asciiTheme="minorHAnsi" w:eastAsiaTheme="minorEastAsia" w:cstheme="minorBidi"/>
                <w:snapToGrid w:val="0"/>
                <w:kern w:val="0"/>
                <w:sz w:val="24"/>
                <w:szCs w:val="24"/>
                <w:lang w:val="en-US" w:eastAsia="zh-CN" w:bidi="ar-SA"/>
              </w:rPr>
            </w:pPr>
            <w:r>
              <w:rPr>
                <w:rFonts w:hint="eastAsia" w:hAnsi="宋体"/>
                <w:snapToGrid w:val="0"/>
                <w:kern w:val="0"/>
                <w:sz w:val="24"/>
                <w:szCs w:val="24"/>
              </w:rPr>
              <w:t>GB50411</w:t>
            </w:r>
            <w:r>
              <w:rPr>
                <w:rFonts w:hint="eastAsia" w:hAnsi="宋体"/>
                <w:snapToGrid w:val="0"/>
                <w:kern w:val="0"/>
                <w:sz w:val="24"/>
                <w:szCs w:val="24"/>
                <w:lang w:val="en-US" w:eastAsia="zh-CN"/>
              </w:rPr>
              <w:t>-2019</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8" w:hRule="atLeast"/>
          <w:jc w:val="center"/>
        </w:trPr>
        <w:tc>
          <w:tcPr>
            <w:tcW w:w="5920" w:type="dxa"/>
            <w:vAlign w:val="center"/>
          </w:tcPr>
          <w:p>
            <w:pPr>
              <w:adjustRightInd w:val="0"/>
              <w:snapToGrid w:val="0"/>
              <w:spacing w:line="336" w:lineRule="auto"/>
              <w:jc w:val="both"/>
              <w:rPr>
                <w:rFonts w:hint="eastAsia" w:hAnsi="宋体"/>
                <w:snapToGrid w:val="0"/>
                <w:kern w:val="0"/>
                <w:sz w:val="24"/>
                <w:szCs w:val="24"/>
              </w:rPr>
            </w:pPr>
            <w:r>
              <w:rPr>
                <w:rFonts w:hint="eastAsia" w:hAnsi="宋体"/>
                <w:snapToGrid w:val="0"/>
                <w:kern w:val="0"/>
                <w:sz w:val="24"/>
                <w:szCs w:val="24"/>
                <w:lang w:eastAsia="zh-CN"/>
              </w:rPr>
              <w:t>《</w:t>
            </w:r>
            <w:r>
              <w:rPr>
                <w:rFonts w:hint="eastAsia" w:hAnsi="宋体"/>
                <w:snapToGrid w:val="0"/>
                <w:kern w:val="0"/>
                <w:sz w:val="24"/>
                <w:szCs w:val="24"/>
              </w:rPr>
              <w:t>通风与空调工程施工质量验收规范</w:t>
            </w:r>
            <w:r>
              <w:rPr>
                <w:rFonts w:hint="eastAsia" w:hAnsi="宋体"/>
                <w:snapToGrid w:val="0"/>
                <w:kern w:val="0"/>
                <w:sz w:val="24"/>
                <w:szCs w:val="24"/>
                <w:lang w:eastAsia="zh-CN"/>
              </w:rPr>
              <w:t>》</w:t>
            </w:r>
            <w:r>
              <w:rPr>
                <w:rFonts w:hint="eastAsia" w:hAnsi="宋体"/>
                <w:snapToGrid w:val="0"/>
                <w:kern w:val="0"/>
                <w:sz w:val="24"/>
                <w:szCs w:val="24"/>
              </w:rPr>
              <w:t xml:space="preserve"> </w:t>
            </w:r>
          </w:p>
        </w:tc>
        <w:tc>
          <w:tcPr>
            <w:tcW w:w="2268" w:type="dxa"/>
            <w:vAlign w:val="center"/>
          </w:tcPr>
          <w:p>
            <w:pPr>
              <w:adjustRightInd w:val="0"/>
              <w:snapToGrid w:val="0"/>
              <w:spacing w:line="336" w:lineRule="auto"/>
              <w:jc w:val="both"/>
              <w:rPr>
                <w:rFonts w:hint="eastAsia" w:hAnsi="宋体"/>
                <w:snapToGrid w:val="0"/>
                <w:kern w:val="0"/>
                <w:sz w:val="24"/>
                <w:szCs w:val="24"/>
              </w:rPr>
            </w:pPr>
            <w:r>
              <w:rPr>
                <w:rFonts w:hint="eastAsia" w:hAnsi="宋体"/>
                <w:snapToGrid w:val="0"/>
                <w:kern w:val="0"/>
                <w:sz w:val="24"/>
                <w:szCs w:val="24"/>
              </w:rPr>
              <w:t>GB 50243-2016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8" w:hRule="atLeast"/>
          <w:jc w:val="center"/>
        </w:trPr>
        <w:tc>
          <w:tcPr>
            <w:tcW w:w="5920" w:type="dxa"/>
            <w:vAlign w:val="center"/>
          </w:tcPr>
          <w:p>
            <w:pPr>
              <w:adjustRightInd w:val="0"/>
              <w:snapToGrid w:val="0"/>
              <w:spacing w:line="336" w:lineRule="auto"/>
              <w:jc w:val="left"/>
              <w:rPr>
                <w:rFonts w:hint="eastAsia" w:hAnsi="宋体" w:asciiTheme="minorHAnsi" w:eastAsiaTheme="minorEastAsia" w:cstheme="minorBidi"/>
                <w:snapToGrid w:val="0"/>
                <w:kern w:val="0"/>
                <w:sz w:val="24"/>
                <w:szCs w:val="24"/>
                <w:lang w:val="en-US" w:eastAsia="zh-CN" w:bidi="ar-SA"/>
              </w:rPr>
            </w:pPr>
            <w:r>
              <w:rPr>
                <w:rFonts w:hint="eastAsia" w:hAnsi="宋体"/>
                <w:snapToGrid w:val="0"/>
                <w:kern w:val="0"/>
                <w:sz w:val="24"/>
                <w:szCs w:val="24"/>
              </w:rPr>
              <w:t>《餐饮业油烟排放标准》</w:t>
            </w:r>
          </w:p>
        </w:tc>
        <w:tc>
          <w:tcPr>
            <w:tcW w:w="2268" w:type="dxa"/>
            <w:vAlign w:val="center"/>
          </w:tcPr>
          <w:p>
            <w:pPr>
              <w:adjustRightInd w:val="0"/>
              <w:snapToGrid w:val="0"/>
              <w:spacing w:line="336" w:lineRule="auto"/>
              <w:jc w:val="both"/>
              <w:rPr>
                <w:rFonts w:hint="default" w:hAnsi="宋体" w:asciiTheme="minorHAnsi" w:eastAsiaTheme="minorEastAsia" w:cstheme="minorBidi"/>
                <w:snapToGrid w:val="0"/>
                <w:kern w:val="0"/>
                <w:sz w:val="24"/>
                <w:szCs w:val="24"/>
                <w:lang w:val="en-US" w:eastAsia="zh-CN" w:bidi="ar-SA"/>
              </w:rPr>
            </w:pPr>
            <w:r>
              <w:rPr>
                <w:rFonts w:hint="eastAsia" w:hAnsi="宋体"/>
                <w:snapToGrid w:val="0"/>
                <w:kern w:val="0"/>
                <w:sz w:val="24"/>
                <w:szCs w:val="24"/>
              </w:rPr>
              <w:t>DB31/844—2014</w:t>
            </w:r>
          </w:p>
        </w:tc>
      </w:tr>
    </w:tbl>
    <w:p>
      <w:pPr>
        <w:pStyle w:val="12"/>
        <w:numPr>
          <w:ilvl w:val="0"/>
          <w:numId w:val="0"/>
        </w:numPr>
        <w:spacing w:line="336" w:lineRule="auto"/>
        <w:ind w:leftChars="0" w:firstLine="640" w:firstLineChars="200"/>
        <w:rPr>
          <w:rFonts w:hint="eastAsia" w:ascii="黑体" w:hAnsi="黑体" w:eastAsia="黑体" w:cs="微软雅黑"/>
          <w:color w:val="000000" w:themeColor="text1"/>
          <w:kern w:val="0"/>
          <w:sz w:val="32"/>
          <w:szCs w:val="32"/>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三、</w:t>
      </w:r>
      <w:r>
        <w:rPr>
          <w:rFonts w:hint="eastAsia" w:ascii="黑体" w:hAnsi="黑体" w:eastAsia="黑体" w:cs="微软雅黑"/>
          <w:color w:val="000000" w:themeColor="text1"/>
          <w:kern w:val="0"/>
          <w:sz w:val="32"/>
          <w:szCs w:val="32"/>
          <w14:textFill>
            <w14:solidFill>
              <w14:schemeClr w14:val="tx1"/>
            </w14:solidFill>
          </w14:textFill>
        </w:rPr>
        <w:t>采购需求</w:t>
      </w:r>
    </w:p>
    <w:p>
      <w:pPr>
        <w:pStyle w:val="12"/>
        <w:numPr>
          <w:ilvl w:val="-1"/>
          <w:numId w:val="0"/>
        </w:numPr>
        <w:spacing w:line="336" w:lineRule="auto"/>
        <w:ind w:left="0" w:leftChars="0" w:firstLine="640" w:firstLineChars="200"/>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1.供应商递交响应文件前须进行现场实地勘察。</w:t>
      </w:r>
    </w:p>
    <w:p>
      <w:pPr>
        <w:pStyle w:val="12"/>
        <w:numPr>
          <w:ilvl w:val="-1"/>
          <w:numId w:val="0"/>
        </w:numPr>
        <w:spacing w:line="336" w:lineRule="auto"/>
        <w:ind w:left="0" w:leftChars="0" w:firstLine="640" w:firstLineChars="200"/>
        <w:rPr>
          <w:rFonts w:hint="default"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2.本项目改造前和改造完成后的平面示意图见：附件1.平面示意图。</w:t>
      </w:r>
    </w:p>
    <w:p>
      <w:pPr>
        <w:pStyle w:val="12"/>
        <w:numPr>
          <w:ilvl w:val="-1"/>
          <w:numId w:val="0"/>
        </w:numPr>
        <w:spacing w:line="336" w:lineRule="auto"/>
        <w:ind w:left="0" w:leftChars="0" w:firstLine="640" w:firstLineChars="200"/>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3、本项目共新增9套自由门，其中双门自由门4套，单门自由门5套。自由门对应所在位置详见：附件1.平面示意图，自由门的尺寸规格见下面表格。自由门要求打开后能自动回弹归位到关闭状态，自由门门体正反面需选用SUS‌304不锈钢板材，板材厚度&gt;=1.5mm,自由门下部安装有橡胶防撞装置，门框四周安装有橡胶门封条，关闭状态下门封条能保证自由门处于密封状态，自由门中间</w:t>
      </w:r>
      <w:r>
        <w:rPr>
          <w:rFonts w:hint="eastAsia" w:ascii="仿宋_GB2312" w:hAnsi="仿宋_GB2312" w:eastAsia="仿宋_GB2312" w:cs="仿宋_GB2312"/>
          <w:color w:val="auto"/>
          <w:kern w:val="0"/>
          <w:sz w:val="32"/>
          <w:szCs w:val="32"/>
          <w:lang w:val="en-US" w:eastAsia="zh-CN"/>
        </w:rPr>
        <w:t>设有300mm*400mm可视窗口，可视窗口使用有机玻璃材质，有机玻璃厚度&gt;=1.0mm</w:t>
      </w: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自由门配套SUS304不锈钢门框,门框不锈钢材料厚度&gt;=1.5mm。‌安装新门时需破墙开门洞的，应先在墙面开门洞，做好门框连接处的修补装修工作。原有玻璃窗户处开门洞的，原有玻璃窗户去除，缺口处采用空心砖填补，墙外面粘贴白色瓷砖，瓷砖大小和颜色与原有墙面保持一致。</w:t>
      </w:r>
    </w:p>
    <w:tbl>
      <w:tblPr>
        <w:tblStyle w:val="10"/>
        <w:tblW w:w="652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72"/>
        <w:gridCol w:w="1284"/>
        <w:gridCol w:w="1872"/>
        <w:gridCol w:w="1416"/>
        <w:gridCol w:w="1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种类</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规格(单位mm)</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安装要求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门1</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自由门（双门）</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1400*2200</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窗改门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门2</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自由门（双门）</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1400*2200</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窗改门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门3</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自由门（双门）</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1400*2200</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窗改门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门4</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自由门（单门）</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800*2200</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二更门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门5</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自由门（单门）</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800*2200</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新建隔断门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门6</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自由门（单门）</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900*2200</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新建隔断门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门7</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自由门（单门）</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800*2200</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新建隔断门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门8</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自由门（单门）</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800*2200</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新建隔断门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门9</w:t>
            </w:r>
          </w:p>
        </w:tc>
        <w:tc>
          <w:tcPr>
            <w:tcW w:w="18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自由门（双门）</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1400*2200</w:t>
            </w:r>
          </w:p>
        </w:tc>
        <w:tc>
          <w:tcPr>
            <w:tcW w:w="12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墙面开门</w:t>
            </w:r>
          </w:p>
        </w:tc>
      </w:tr>
    </w:tbl>
    <w:p>
      <w:pPr>
        <w:pStyle w:val="12"/>
        <w:numPr>
          <w:ilvl w:val="-1"/>
          <w:numId w:val="0"/>
        </w:numPr>
        <w:spacing w:line="336" w:lineRule="auto"/>
        <w:ind w:left="0" w:leftChars="0" w:firstLine="640" w:firstLineChars="200"/>
        <w:rPr>
          <w:rFonts w:hint="default" w:ascii="仿宋_GB2312" w:hAnsi="微软雅黑" w:eastAsia="仿宋_GB2312" w:cs="微软雅黑"/>
          <w:color w:val="000000" w:themeColor="text1"/>
          <w:kern w:val="0"/>
          <w:sz w:val="32"/>
          <w:szCs w:val="32"/>
          <w:highlight w:val="none"/>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4、本项目新建1间更衣室和1间二更间，具体位置见附件1.平面示意图。更衣室尺寸1400mm*2300mm，二更间尺寸1300mm*2300mm，采用双层SUS304不锈钢岩棉板，岩棉板</w:t>
      </w:r>
      <w:r>
        <w:rPr>
          <w:rFonts w:hint="eastAsia" w:ascii="仿宋_GB2312" w:hAnsi="微软雅黑" w:eastAsia="仿宋_GB2312" w:cs="微软雅黑"/>
          <w:color w:val="000000" w:themeColor="text1"/>
          <w:kern w:val="0"/>
          <w:sz w:val="32"/>
          <w:szCs w:val="32"/>
          <w:highlight w:val="none"/>
          <w:lang w:val="en-US" w:eastAsia="zh-CN" w:bidi="ar-SA"/>
          <w14:textFill>
            <w14:solidFill>
              <w14:schemeClr w14:val="tx1"/>
            </w14:solidFill>
          </w14:textFill>
        </w:rPr>
        <w:t>厚度100mm，不锈钢板厚度&gt;=0.8mm，</w:t>
      </w: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岩棉板</w:t>
      </w:r>
      <w:r>
        <w:rPr>
          <w:rFonts w:hint="eastAsia" w:ascii="仿宋_GB2312" w:hAnsi="微软雅黑" w:eastAsia="仿宋_GB2312" w:cs="微软雅黑"/>
          <w:color w:val="000000" w:themeColor="text1"/>
          <w:kern w:val="0"/>
          <w:sz w:val="32"/>
          <w:szCs w:val="32"/>
          <w:highlight w:val="none"/>
          <w:lang w:val="en-US" w:eastAsia="zh-CN" w:bidi="ar-SA"/>
          <w14:textFill>
            <w14:solidFill>
              <w14:schemeClr w14:val="tx1"/>
            </w14:solidFill>
          </w14:textFill>
        </w:rPr>
        <w:t>防火等级为A级,需提供岩棉板第三方防火等级检测报告。</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不锈钢岩棉板隔断安装要求牢固可靠，顶部安装卡槽连接至天花板与之固定相接，底部安装卡槽与地面连接采用膨胀螺丝固定。2个更衣室内均需各安装1只洗手盆，且每只洗手盆需配套安装感应龙头和小厨宝供应洗手温水，感应龙头与小厨宝间安装有混水阀调节出水水温。洗手盆的上下水同步连接至附近水源和排水管，确保洗手盆正常使用。每只洗手盆旁还均需配套安装1只手部酒精消毒机和1台干手机，手部酒精消毒机酒精存储容量&gt;=1000ML，电源AC220V，红外线感应喷雾，消毒机参考尺寸为：248mm*190mm*520mm；干手器电源AC220V，额定功率&gt;=1000W,红外感应自动吹热风工作，干手机参考尺寸为：248mm*190mm*520mm；小厨宝、酒精消毒机和干手机的插座电源就近安装到位。</w:t>
      </w:r>
    </w:p>
    <w:p>
      <w:pPr>
        <w:pStyle w:val="12"/>
        <w:numPr>
          <w:ilvl w:val="0"/>
          <w:numId w:val="0"/>
        </w:numPr>
        <w:ind w:leftChars="0" w:firstLine="640" w:firstLineChars="200"/>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bidi="ar-SA"/>
          <w14:textFill>
            <w14:solidFill>
              <w14:schemeClr w14:val="tx1"/>
            </w14:solidFill>
          </w14:textFill>
        </w:rPr>
        <w:t>5、本项目</w:t>
      </w: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新建SUS304不锈钢风淋房1间，具体位置见附件1.平面示意图。不锈钢板材厚度&gt;=1.0mm，配置有顶部和左右两边的风淋口。风淋房外尺寸（宽*长）为1400mm*2000mm，高度至天花板，风淋通道尺寸（宽*长*高）为800mm*2000mm*2000mm。风淋房入口门和出口门能自动关闭，风淋时有锁门和互锁功能。要求风速&gt;=20m/s，运行噪音&lt;=70dB，配备照明，控制系统与自动感应启动、延时关闭（时间可调）等功能。应有紧急停止按钮，以便紧急情况下立即停止风淋房运行。</w:t>
      </w:r>
    </w:p>
    <w:p>
      <w:pPr>
        <w:pStyle w:val="12"/>
        <w:numPr>
          <w:ilvl w:val="0"/>
          <w:numId w:val="0"/>
        </w:numPr>
        <w:ind w:leftChars="0" w:firstLine="640" w:firstLineChars="200"/>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6、本项目新建隔断54平米（含隔断门面积），</w:t>
      </w: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具体位置见附件1.平面示意图。</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隔断材料为双面SUS304不锈钢岩棉板，不锈钢板厚度&gt;=0.8mm,岩棉板厚度为100mm,</w:t>
      </w: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岩棉板</w:t>
      </w:r>
      <w:r>
        <w:rPr>
          <w:rFonts w:hint="eastAsia" w:ascii="仿宋_GB2312" w:hAnsi="微软雅黑" w:eastAsia="仿宋_GB2312" w:cs="微软雅黑"/>
          <w:color w:val="000000" w:themeColor="text1"/>
          <w:kern w:val="0"/>
          <w:sz w:val="32"/>
          <w:szCs w:val="32"/>
          <w:highlight w:val="none"/>
          <w:lang w:val="en-US" w:eastAsia="zh-CN" w:bidi="ar-SA"/>
          <w14:textFill>
            <w14:solidFill>
              <w14:schemeClr w14:val="tx1"/>
            </w14:solidFill>
          </w14:textFill>
        </w:rPr>
        <w:t>防火等级为A级，需提供岩棉板第三方防火等级检测报告。</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不锈钢岩棉板隔断安装要求牢固可靠，顶部安装卡槽连接至天花板与之固定相接，底部安装卡槽与地面连接采用膨胀螺丝固定。</w:t>
      </w:r>
    </w:p>
    <w:p>
      <w:pPr>
        <w:pStyle w:val="12"/>
        <w:numPr>
          <w:ilvl w:val="0"/>
          <w:numId w:val="0"/>
        </w:numPr>
        <w:ind w:leftChars="0" w:firstLine="640" w:firstLineChars="200"/>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7、本项目配套新风机1台，</w:t>
      </w: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具体位置见附件1.平面示意图。风机额定新风量&gt;=500m³/h,噪音&lt;=45dB，功率&lt;=500W。配置铝合金新风口(新风出口)5只，风管采用SUS304不锈钢材料，厚度&gt;=0.8mm新风机新风1个入口和5个出风口处均需配置过滤器，过滤器滤芯采用H13级HEPA，有效提供新风的洁净度。</w:t>
      </w:r>
    </w:p>
    <w:p>
      <w:pPr>
        <w:pStyle w:val="12"/>
        <w:numPr>
          <w:ilvl w:val="0"/>
          <w:numId w:val="0"/>
        </w:numPr>
        <w:ind w:leftChars="0" w:firstLine="640" w:firstLineChars="200"/>
        <w:rPr>
          <w:rFonts w:hint="default"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8、原料仓库内原有隔断墙需拆除，需拆除的墙面积约为13.5㎡，拆除处墙面修补完整，保证墙和地面整体协调。拆墙时需做好施工防尘防护工作。</w:t>
      </w:r>
    </w:p>
    <w:p>
      <w:pPr>
        <w:pStyle w:val="12"/>
        <w:numPr>
          <w:ilvl w:val="0"/>
          <w:numId w:val="0"/>
        </w:numPr>
        <w:ind w:leftChars="0" w:firstLine="640" w:firstLineChars="200"/>
        <w:rPr>
          <w:rFonts w:hint="default"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9、原料仓库内吊顶更换为600mm*600mm白色铝扣板吊顶，面积约13㎡。安装铝扣板的镀锌龙骨吊装在楼板下方，铝扣板高度和原阳光房网格吊顶高度保持一致。</w:t>
      </w:r>
    </w:p>
    <w:p>
      <w:pPr>
        <w:pStyle w:val="12"/>
        <w:numPr>
          <w:ilvl w:val="0"/>
          <w:numId w:val="0"/>
        </w:numPr>
        <w:ind w:leftChars="0" w:firstLine="640" w:firstLineChars="200"/>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10、烘烤间烤箱排烟罩移至房间中部的烤箱上方，联通相应排风管道，有利于油烟的抽排。</w:t>
      </w:r>
    </w:p>
    <w:p>
      <w:pPr>
        <w:pStyle w:val="12"/>
        <w:numPr>
          <w:ilvl w:val="0"/>
          <w:numId w:val="0"/>
        </w:numPr>
        <w:ind w:leftChars="0" w:firstLine="640" w:firstLineChars="200"/>
        <w:rPr>
          <w:rFonts w:hint="default"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11、制作间需从房间顶部原有供水管处重新布置1路PPR水管至制作间用水点，用水点靠近外窗一侧，供应制作间的用水，PPR水管管径为DN25。</w:t>
      </w:r>
    </w:p>
    <w:p>
      <w:pPr>
        <w:pStyle w:val="12"/>
        <w:numPr>
          <w:ilvl w:val="0"/>
          <w:numId w:val="0"/>
        </w:numPr>
        <w:ind w:leftChars="0" w:firstLine="640" w:firstLineChars="200"/>
        <w:rPr>
          <w:rFonts w:hint="default"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12、楼顶排风机配置1台SUS304不锈钢油烟净化器，处理风量17000—20000m³/h,选型设备须有环境保护产品认证证书，油烟去除效率&gt;=90%。原有排烟管道（600mm*600mm）增加排放检测段，增加的直管长度&gt;=4米，材料为厚度&gt;=1.0mm的镀锌板，满足油烟净化排放检测要求，并在适当位置开好检测口。新增风管安装要安装牢靠，与楼板有铁架(角铁材料厚度&gt;=2.0mm,表面油漆防腐处理)支撑固定，防止台风天气损坏风管。新增风管与原有风管紧密密封联接，联接处不得有漏风现象。</w:t>
      </w:r>
    </w:p>
    <w:p>
      <w:pPr>
        <w:pStyle w:val="12"/>
        <w:numPr>
          <w:ilvl w:val="0"/>
          <w:numId w:val="0"/>
        </w:numPr>
        <w:ind w:leftChars="0" w:firstLine="640" w:firstLineChars="200"/>
        <w:rPr>
          <w:rFonts w:hint="default"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13、成品仓库外墙玻璃幕墙防水修补，密封结构胶更新，确保下雨天房间内无漏水现象。</w:t>
      </w:r>
    </w:p>
    <w:p>
      <w:pPr>
        <w:pStyle w:val="12"/>
        <w:numPr>
          <w:ilvl w:val="-1"/>
          <w:numId w:val="0"/>
        </w:numPr>
        <w:spacing w:line="336" w:lineRule="auto"/>
        <w:ind w:left="0" w:leftChars="0" w:firstLine="640" w:firstLineChars="200"/>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14、产生的所有建筑垃圾及废料外运处理。</w:t>
      </w:r>
    </w:p>
    <w:p>
      <w:pPr>
        <w:pStyle w:val="12"/>
        <w:numPr>
          <w:ilvl w:val="0"/>
          <w:numId w:val="0"/>
        </w:numPr>
        <w:spacing w:line="336"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15、本项目金额为闭口包干价，包含所有人工、材料、税费、安全等费用。</w:t>
      </w:r>
    </w:p>
    <w:p>
      <w:pPr>
        <w:pStyle w:val="12"/>
        <w:numPr>
          <w:ilvl w:val="0"/>
          <w:numId w:val="0"/>
        </w:numPr>
        <w:spacing w:line="336" w:lineRule="auto"/>
        <w:ind w:firstLine="640" w:firstLineChars="200"/>
        <w:rPr>
          <w:rFonts w:hint="eastAsia" w:ascii="黑体" w:hAnsi="黑体" w:eastAsia="黑体" w:cs="微软雅黑"/>
          <w:color w:val="000000" w:themeColor="text1"/>
          <w:kern w:val="0"/>
          <w:sz w:val="32"/>
          <w:szCs w:val="32"/>
          <w:highlight w:val="none"/>
          <w:lang w:val="en-US" w:eastAsia="zh-CN"/>
          <w14:textFill>
            <w14:solidFill>
              <w14:schemeClr w14:val="tx1"/>
            </w14:solidFill>
          </w14:textFill>
        </w:rPr>
      </w:pPr>
      <w:r>
        <w:rPr>
          <w:rFonts w:hint="eastAsia" w:ascii="黑体" w:hAnsi="黑体" w:eastAsia="黑体" w:cs="微软雅黑"/>
          <w:color w:val="000000" w:themeColor="text1"/>
          <w:kern w:val="0"/>
          <w:sz w:val="32"/>
          <w:szCs w:val="32"/>
          <w:highlight w:val="none"/>
          <w:lang w:val="en-US" w:eastAsia="zh-CN"/>
          <w14:textFill>
            <w14:solidFill>
              <w14:schemeClr w14:val="tx1"/>
            </w14:solidFill>
          </w14:textFill>
        </w:rPr>
        <w:t>四、供应商资质</w:t>
      </w:r>
    </w:p>
    <w:p>
      <w:pPr>
        <w:pStyle w:val="12"/>
        <w:numPr>
          <w:ilvl w:val="0"/>
          <w:numId w:val="0"/>
        </w:numPr>
        <w:spacing w:line="336" w:lineRule="auto"/>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具有有效期内的营业执照及相应的经营范围</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建筑工程施工或建设工程施工或装修施工等</w:t>
      </w:r>
    </w:p>
    <w:p>
      <w:pPr>
        <w:pStyle w:val="12"/>
        <w:numPr>
          <w:ilvl w:val="0"/>
          <w:numId w:val="0"/>
        </w:numPr>
        <w:spacing w:line="336" w:lineRule="auto"/>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2.具有建筑业企业资质证书</w:t>
      </w:r>
    </w:p>
    <w:p>
      <w:pPr>
        <w:pStyle w:val="12"/>
        <w:numPr>
          <w:ilvl w:val="0"/>
          <w:numId w:val="0"/>
        </w:numPr>
        <w:spacing w:line="336" w:lineRule="auto"/>
        <w:ind w:firstLine="640" w:firstLineChars="20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3.具有有效期内的安全生产许可证，许可范围：建筑施工</w:t>
      </w:r>
    </w:p>
    <w:p>
      <w:pPr>
        <w:pStyle w:val="12"/>
        <w:numPr>
          <w:ilvl w:val="0"/>
          <w:numId w:val="0"/>
        </w:numPr>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br w:type="page"/>
      </w:r>
    </w:p>
    <w:p>
      <w:pPr>
        <w:ind w:firstLine="0" w:firstLineChars="0"/>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报价方式</w:t>
      </w:r>
    </w:p>
    <w:p>
      <w:pPr>
        <w:numPr>
          <w:ilvl w:val="0"/>
          <w:numId w:val="1"/>
        </w:numP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项目总价</w:t>
      </w:r>
    </w:p>
    <w:tbl>
      <w:tblPr>
        <w:tblStyle w:val="10"/>
        <w:tblW w:w="8595" w:type="dxa"/>
        <w:tblInd w:w="-3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3"/>
        <w:gridCol w:w="2891"/>
        <w:gridCol w:w="1135"/>
        <w:gridCol w:w="1177"/>
        <w:gridCol w:w="1089"/>
        <w:gridCol w:w="1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0"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序号</w:t>
            </w:r>
          </w:p>
        </w:tc>
        <w:tc>
          <w:tcPr>
            <w:tcW w:w="2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w:t>
            </w:r>
          </w:p>
        </w:tc>
        <w:tc>
          <w:tcPr>
            <w:tcW w:w="1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数量</w:t>
            </w: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未税总价</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税率</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含税总价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0" w:hRule="atLeast"/>
        </w:trPr>
        <w:tc>
          <w:tcPr>
            <w:tcW w:w="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2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bidi="ar"/>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（SC）车间标准化设施设备改造项目</w:t>
            </w:r>
          </w:p>
        </w:tc>
        <w:tc>
          <w:tcPr>
            <w:tcW w:w="1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r>
    </w:tbl>
    <w:p>
      <w:pP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2.分项报价</w:t>
      </w:r>
    </w:p>
    <w:tbl>
      <w:tblPr>
        <w:tblStyle w:val="10"/>
        <w:tblW w:w="8640" w:type="dxa"/>
        <w:tblInd w:w="-36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42"/>
        <w:gridCol w:w="608"/>
        <w:gridCol w:w="885"/>
        <w:gridCol w:w="1125"/>
        <w:gridCol w:w="795"/>
        <w:gridCol w:w="1560"/>
        <w:gridCol w:w="17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2"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名称</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数量</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未税单价</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税率</w:t>
            </w: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含税总价</w:t>
            </w: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1"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自由门（9套）</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cs="仿宋_GB2312" w:eastAsiaTheme="minorEastAsia"/>
                <w:i w:val="0"/>
                <w:color w:val="000000"/>
                <w:sz w:val="24"/>
                <w:szCs w:val="24"/>
                <w:u w:val="none"/>
                <w:lang w:val="en-US" w:eastAsia="zh-CN"/>
              </w:rPr>
            </w:pPr>
            <w:r>
              <w:rPr>
                <w:rFonts w:hint="eastAsia"/>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240" w:firstLineChars="100"/>
              <w:jc w:val="left"/>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含材料、人工、</w:t>
            </w:r>
          </w:p>
          <w:p>
            <w:pPr>
              <w:keepNext w:val="0"/>
              <w:keepLines w:val="0"/>
              <w:widowControl/>
              <w:suppressLineNumbers w:val="0"/>
              <w:ind w:firstLine="480" w:firstLineChars="200"/>
              <w:jc w:val="left"/>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施工设备、</w:t>
            </w:r>
          </w:p>
          <w:p>
            <w:pPr>
              <w:keepNext w:val="0"/>
              <w:keepLines w:val="0"/>
              <w:widowControl/>
              <w:suppressLineNumbers w:val="0"/>
              <w:ind w:firstLine="480" w:firstLineChars="200"/>
              <w:jc w:val="left"/>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垃圾处理等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7"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更衣间（2套）（含洗手盆2只、手部酒精消毒机2台、干手机2台、小厨包2台等）</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2"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风淋房（1套）</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新建隔断（54㎡）</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新风机（1台）（含连接风管、过滤器、风口等）</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2"/>
                <w:sz w:val="24"/>
                <w:szCs w:val="24"/>
                <w:u w:val="none"/>
                <w:lang w:val="en-US" w:eastAsia="zh-CN" w:bidi="ar-SA"/>
              </w:rPr>
              <w:t>拆墙（原料仓库）</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2"/>
                <w:sz w:val="24"/>
                <w:szCs w:val="24"/>
                <w:u w:val="none"/>
                <w:lang w:val="en-US" w:eastAsia="zh-CN" w:bidi="ar-SA"/>
              </w:rPr>
              <w:t>吊顶（原料仓库）</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4"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2"/>
                <w:sz w:val="24"/>
                <w:szCs w:val="24"/>
                <w:u w:val="none"/>
                <w:lang w:val="en-US" w:eastAsia="zh-CN" w:bidi="ar-SA"/>
              </w:rPr>
              <w:t>供水管（制作间）</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2"/>
                <w:sz w:val="24"/>
                <w:szCs w:val="24"/>
                <w:u w:val="none"/>
                <w:lang w:val="en-US" w:eastAsia="zh-CN" w:bidi="ar-SA"/>
              </w:rPr>
              <w:t>排烟罩移位</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2"/>
                <w:sz w:val="24"/>
                <w:szCs w:val="24"/>
                <w:u w:val="none"/>
                <w:lang w:val="en-US" w:eastAsia="zh-CN" w:bidi="ar-SA"/>
              </w:rPr>
              <w:t>油烟净化器（含新增风管）</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2"/>
                <w:sz w:val="24"/>
                <w:szCs w:val="24"/>
                <w:u w:val="none"/>
                <w:lang w:val="en-US" w:eastAsia="zh-CN" w:bidi="ar-SA"/>
              </w:rPr>
              <w:t>玻璃幕墙修补</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0" w:hRule="atLeast"/>
        </w:trPr>
        <w:tc>
          <w:tcPr>
            <w:tcW w:w="19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项目总价</w:t>
            </w:r>
          </w:p>
        </w:tc>
        <w:tc>
          <w:tcPr>
            <w:tcW w:w="497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sz w:val="24"/>
                <w:szCs w:val="24"/>
                <w:u w:val="none"/>
                <w:lang w:val="en-US" w:eastAsia="zh-CN"/>
              </w:rPr>
            </w:pPr>
          </w:p>
        </w:tc>
      </w:tr>
    </w:tbl>
    <w:p>
      <w:pP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br w:type="page"/>
      </w:r>
    </w:p>
    <w:p>
      <w:pP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附件1.</w:t>
      </w: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平面示意图</w:t>
      </w:r>
    </w:p>
    <w:p>
      <w:pPr>
        <w:jc w:val="cente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p>
    <w:p>
      <w:pPr>
        <w:jc w:val="center"/>
        <w:rPr>
          <w:rFonts w:hint="default"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改造前房间平面示意图</w:t>
      </w:r>
    </w:p>
    <w:p>
      <w:pP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drawing>
          <wp:inline distT="0" distB="0" distL="114300" distR="114300">
            <wp:extent cx="5274310" cy="1287780"/>
            <wp:effectExtent l="0" t="0" r="13970" b="7620"/>
            <wp:docPr id="4" name="图片 4" descr="178530225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85302251715"/>
                    <pic:cNvPicPr>
                      <a:picLocks noChangeAspect="1"/>
                    </pic:cNvPicPr>
                  </pic:nvPicPr>
                  <pic:blipFill>
                    <a:blip r:embed="rId6"/>
                    <a:srcRect t="12208"/>
                    <a:stretch>
                      <a:fillRect/>
                    </a:stretch>
                  </pic:blipFill>
                  <pic:spPr>
                    <a:xfrm>
                      <a:off x="0" y="0"/>
                      <a:ext cx="5274310" cy="1287780"/>
                    </a:xfrm>
                    <a:prstGeom prst="rect">
                      <a:avLst/>
                    </a:prstGeom>
                  </pic:spPr>
                </pic:pic>
              </a:graphicData>
            </a:graphic>
          </wp:inline>
        </w:drawing>
      </w:r>
    </w:p>
    <w:p>
      <w:pPr>
        <w:jc w:val="cente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p>
    <w:p>
      <w:pPr>
        <w:jc w:val="cente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p>
    <w:p>
      <w:pPr>
        <w:jc w:val="cente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改造后房间平面示意图</w:t>
      </w:r>
    </w:p>
    <w:p>
      <w:pPr>
        <w:rPr>
          <w:rFonts w:hint="eastAsia" w:eastAsiaTheme="minorEastAsia"/>
          <w:lang w:eastAsia="zh-CN"/>
        </w:rPr>
      </w:pPr>
      <w:r>
        <w:rPr>
          <w:rFonts w:hint="eastAsia" w:eastAsiaTheme="minorEastAsia"/>
          <w:lang w:eastAsia="zh-CN"/>
        </w:rPr>
        <w:drawing>
          <wp:inline distT="0" distB="0" distL="114300" distR="114300">
            <wp:extent cx="5274310" cy="1369060"/>
            <wp:effectExtent l="0" t="0" r="13970" b="2540"/>
            <wp:docPr id="3" name="图片 3" descr="178556595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85565954287"/>
                    <pic:cNvPicPr>
                      <a:picLocks noChangeAspect="1"/>
                    </pic:cNvPicPr>
                  </pic:nvPicPr>
                  <pic:blipFill>
                    <a:blip r:embed="rId7"/>
                    <a:stretch>
                      <a:fillRect/>
                    </a:stretch>
                  </pic:blipFill>
                  <pic:spPr>
                    <a:xfrm>
                      <a:off x="0" y="0"/>
                      <a:ext cx="5274310" cy="1369060"/>
                    </a:xfrm>
                    <a:prstGeom prst="rect">
                      <a:avLst/>
                    </a:prstGeom>
                  </pic:spPr>
                </pic:pic>
              </a:graphicData>
            </a:graphic>
          </wp:inline>
        </w:drawing>
      </w:r>
    </w:p>
    <w:p/>
    <w:p/>
    <w:p/>
    <w:p/>
    <w:p/>
    <w:p/>
    <w:p/>
    <w:p/>
    <w:p/>
    <w:p>
      <w:pPr>
        <w:rPr>
          <w:rFonts w:hint="eastAsia"/>
          <w:lang w:val="en-US" w:eastAsia="zh-CN"/>
        </w:rPr>
      </w:pPr>
    </w:p>
    <w:sectPr>
      <w:footerReference r:id="rId3" w:type="default"/>
      <w:footerReference r:id="rId4" w:type="even"/>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4D40F"/>
    <w:multiLevelType w:val="singleLevel"/>
    <w:tmpl w:val="6E54D40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trackRevisions w:val="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01D4"/>
    <w:rsid w:val="000550E3"/>
    <w:rsid w:val="00061DD7"/>
    <w:rsid w:val="00073587"/>
    <w:rsid w:val="000849F7"/>
    <w:rsid w:val="00084E14"/>
    <w:rsid w:val="000C170A"/>
    <w:rsid w:val="000E2B02"/>
    <w:rsid w:val="0013221E"/>
    <w:rsid w:val="001348E1"/>
    <w:rsid w:val="00171287"/>
    <w:rsid w:val="00180EAA"/>
    <w:rsid w:val="001C5795"/>
    <w:rsid w:val="001D0FAB"/>
    <w:rsid w:val="00201FAD"/>
    <w:rsid w:val="00214170"/>
    <w:rsid w:val="00223D20"/>
    <w:rsid w:val="00226EAE"/>
    <w:rsid w:val="002327A9"/>
    <w:rsid w:val="002B2046"/>
    <w:rsid w:val="002E107B"/>
    <w:rsid w:val="00325204"/>
    <w:rsid w:val="00362239"/>
    <w:rsid w:val="00371A25"/>
    <w:rsid w:val="003D05AB"/>
    <w:rsid w:val="003D1E41"/>
    <w:rsid w:val="003F31BE"/>
    <w:rsid w:val="00400996"/>
    <w:rsid w:val="00406426"/>
    <w:rsid w:val="00406574"/>
    <w:rsid w:val="00407C9D"/>
    <w:rsid w:val="00407CA1"/>
    <w:rsid w:val="00436531"/>
    <w:rsid w:val="004614B0"/>
    <w:rsid w:val="004A5B5D"/>
    <w:rsid w:val="004C6A98"/>
    <w:rsid w:val="00514B39"/>
    <w:rsid w:val="00551F28"/>
    <w:rsid w:val="0056617B"/>
    <w:rsid w:val="005709EB"/>
    <w:rsid w:val="00594C13"/>
    <w:rsid w:val="005B08D1"/>
    <w:rsid w:val="005C3C14"/>
    <w:rsid w:val="006030BF"/>
    <w:rsid w:val="0062742F"/>
    <w:rsid w:val="006913D3"/>
    <w:rsid w:val="006C0293"/>
    <w:rsid w:val="006E092D"/>
    <w:rsid w:val="0070497D"/>
    <w:rsid w:val="007106B6"/>
    <w:rsid w:val="00724476"/>
    <w:rsid w:val="00731B46"/>
    <w:rsid w:val="00736CD6"/>
    <w:rsid w:val="00747086"/>
    <w:rsid w:val="00762A19"/>
    <w:rsid w:val="00794D8C"/>
    <w:rsid w:val="007A72FA"/>
    <w:rsid w:val="007B0156"/>
    <w:rsid w:val="007C11D9"/>
    <w:rsid w:val="00804D24"/>
    <w:rsid w:val="0085224A"/>
    <w:rsid w:val="008A28DF"/>
    <w:rsid w:val="008A7E4C"/>
    <w:rsid w:val="008C17EF"/>
    <w:rsid w:val="008D37C2"/>
    <w:rsid w:val="008F001A"/>
    <w:rsid w:val="0090411D"/>
    <w:rsid w:val="00971051"/>
    <w:rsid w:val="00981A68"/>
    <w:rsid w:val="00983571"/>
    <w:rsid w:val="009A49D2"/>
    <w:rsid w:val="009A6AC9"/>
    <w:rsid w:val="009B0260"/>
    <w:rsid w:val="009B317D"/>
    <w:rsid w:val="00A442D9"/>
    <w:rsid w:val="00A47B16"/>
    <w:rsid w:val="00A96368"/>
    <w:rsid w:val="00AB3BE8"/>
    <w:rsid w:val="00AF7503"/>
    <w:rsid w:val="00B72329"/>
    <w:rsid w:val="00B747B2"/>
    <w:rsid w:val="00B863E1"/>
    <w:rsid w:val="00BF7988"/>
    <w:rsid w:val="00C21429"/>
    <w:rsid w:val="00C6029A"/>
    <w:rsid w:val="00CA3B76"/>
    <w:rsid w:val="00CC1EA5"/>
    <w:rsid w:val="00CC4E45"/>
    <w:rsid w:val="00CD6B6B"/>
    <w:rsid w:val="00CE6F2E"/>
    <w:rsid w:val="00D07988"/>
    <w:rsid w:val="00D2321C"/>
    <w:rsid w:val="00D3022D"/>
    <w:rsid w:val="00D477D1"/>
    <w:rsid w:val="00D75620"/>
    <w:rsid w:val="00DE258D"/>
    <w:rsid w:val="00E0025A"/>
    <w:rsid w:val="00E17ADC"/>
    <w:rsid w:val="00E5322E"/>
    <w:rsid w:val="00E96F5B"/>
    <w:rsid w:val="00EC4A37"/>
    <w:rsid w:val="00EC621F"/>
    <w:rsid w:val="00ED5206"/>
    <w:rsid w:val="00F61A1A"/>
    <w:rsid w:val="00F9084B"/>
    <w:rsid w:val="01155E73"/>
    <w:rsid w:val="011B6249"/>
    <w:rsid w:val="01F05010"/>
    <w:rsid w:val="02F12047"/>
    <w:rsid w:val="02FC0F80"/>
    <w:rsid w:val="038D13F5"/>
    <w:rsid w:val="043710E1"/>
    <w:rsid w:val="051A602B"/>
    <w:rsid w:val="053300C7"/>
    <w:rsid w:val="070F1C5C"/>
    <w:rsid w:val="073C776D"/>
    <w:rsid w:val="07F47FE8"/>
    <w:rsid w:val="09770A43"/>
    <w:rsid w:val="09AA40ED"/>
    <w:rsid w:val="0A35205B"/>
    <w:rsid w:val="0B376FDF"/>
    <w:rsid w:val="0B613EDC"/>
    <w:rsid w:val="0C1E413A"/>
    <w:rsid w:val="0C8370F8"/>
    <w:rsid w:val="0F415EE5"/>
    <w:rsid w:val="107965E8"/>
    <w:rsid w:val="11342E45"/>
    <w:rsid w:val="135009C8"/>
    <w:rsid w:val="1400172D"/>
    <w:rsid w:val="162F109F"/>
    <w:rsid w:val="16A41C06"/>
    <w:rsid w:val="177D3694"/>
    <w:rsid w:val="19C73349"/>
    <w:rsid w:val="1AD55E87"/>
    <w:rsid w:val="1D0C0B9E"/>
    <w:rsid w:val="1E95027C"/>
    <w:rsid w:val="20074127"/>
    <w:rsid w:val="22676B2B"/>
    <w:rsid w:val="24226318"/>
    <w:rsid w:val="245F5A32"/>
    <w:rsid w:val="247356F9"/>
    <w:rsid w:val="28AC21BF"/>
    <w:rsid w:val="28BA081D"/>
    <w:rsid w:val="28DB27E2"/>
    <w:rsid w:val="28E06186"/>
    <w:rsid w:val="29047AA4"/>
    <w:rsid w:val="299E6045"/>
    <w:rsid w:val="2AFA5291"/>
    <w:rsid w:val="2B25715A"/>
    <w:rsid w:val="2CDA0651"/>
    <w:rsid w:val="2D0E757B"/>
    <w:rsid w:val="2D5441CC"/>
    <w:rsid w:val="2E6F05E7"/>
    <w:rsid w:val="2E76187E"/>
    <w:rsid w:val="30543114"/>
    <w:rsid w:val="336648C3"/>
    <w:rsid w:val="33A905CE"/>
    <w:rsid w:val="37B0491D"/>
    <w:rsid w:val="38D11321"/>
    <w:rsid w:val="391F48CA"/>
    <w:rsid w:val="39D04FA7"/>
    <w:rsid w:val="3A9F2568"/>
    <w:rsid w:val="3B2D4EE7"/>
    <w:rsid w:val="3B9E062D"/>
    <w:rsid w:val="3D21044B"/>
    <w:rsid w:val="40394495"/>
    <w:rsid w:val="408349EA"/>
    <w:rsid w:val="40BF5166"/>
    <w:rsid w:val="42A55139"/>
    <w:rsid w:val="42C2256A"/>
    <w:rsid w:val="43AD5318"/>
    <w:rsid w:val="44144DEA"/>
    <w:rsid w:val="445053F1"/>
    <w:rsid w:val="447B318C"/>
    <w:rsid w:val="4617035D"/>
    <w:rsid w:val="46AB421B"/>
    <w:rsid w:val="47BB4B72"/>
    <w:rsid w:val="49F56C95"/>
    <w:rsid w:val="4B9B37F0"/>
    <w:rsid w:val="4BED7DE4"/>
    <w:rsid w:val="4C4E0035"/>
    <w:rsid w:val="4C8B0643"/>
    <w:rsid w:val="4F6335E8"/>
    <w:rsid w:val="4FDE438F"/>
    <w:rsid w:val="50A41B3A"/>
    <w:rsid w:val="50BE1AE9"/>
    <w:rsid w:val="515437E4"/>
    <w:rsid w:val="51D751EE"/>
    <w:rsid w:val="55A33EB3"/>
    <w:rsid w:val="57F60BF1"/>
    <w:rsid w:val="588910F8"/>
    <w:rsid w:val="58E74C6E"/>
    <w:rsid w:val="5A8E21EF"/>
    <w:rsid w:val="5B6C36D4"/>
    <w:rsid w:val="5BCC01D1"/>
    <w:rsid w:val="5D0B5592"/>
    <w:rsid w:val="5D0D3206"/>
    <w:rsid w:val="5DA17589"/>
    <w:rsid w:val="5DFD1613"/>
    <w:rsid w:val="5E19144E"/>
    <w:rsid w:val="5F6C1325"/>
    <w:rsid w:val="611A766C"/>
    <w:rsid w:val="61C04582"/>
    <w:rsid w:val="63071E9E"/>
    <w:rsid w:val="63326DAF"/>
    <w:rsid w:val="649A2F54"/>
    <w:rsid w:val="65EB5DB6"/>
    <w:rsid w:val="66191A7F"/>
    <w:rsid w:val="6A456AD9"/>
    <w:rsid w:val="6A5C2774"/>
    <w:rsid w:val="6AED0F5F"/>
    <w:rsid w:val="6B1C5478"/>
    <w:rsid w:val="6B927153"/>
    <w:rsid w:val="6BB5601E"/>
    <w:rsid w:val="6DFF62F4"/>
    <w:rsid w:val="6E5A7CE9"/>
    <w:rsid w:val="70A55898"/>
    <w:rsid w:val="71000430"/>
    <w:rsid w:val="71FD7D2A"/>
    <w:rsid w:val="724C7397"/>
    <w:rsid w:val="730A27B3"/>
    <w:rsid w:val="73C60433"/>
    <w:rsid w:val="744033D5"/>
    <w:rsid w:val="747A3606"/>
    <w:rsid w:val="76D13DB0"/>
    <w:rsid w:val="79362BA6"/>
    <w:rsid w:val="79F5428E"/>
    <w:rsid w:val="7B371DD5"/>
    <w:rsid w:val="7BF41DC0"/>
    <w:rsid w:val="7CB45542"/>
    <w:rsid w:val="7CE44A58"/>
    <w:rsid w:val="7F531DC3"/>
    <w:rsid w:val="7FC465A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ody Text Indent 2"/>
    <w:basedOn w:val="1"/>
    <w:qFormat/>
    <w:uiPriority w:val="0"/>
    <w:pPr>
      <w:ind w:firstLine="420"/>
    </w:pPr>
    <w:rPr>
      <w:rFonts w:ascii="楷体_GB2312" w:eastAsia="楷体_GB2312"/>
      <w:sz w:val="28"/>
    </w:rPr>
  </w:style>
  <w:style w:type="paragraph" w:styleId="4">
    <w:name w:val="annotation text"/>
    <w:basedOn w:val="1"/>
    <w:unhideWhenUsed/>
    <w:qFormat/>
    <w:uiPriority w:val="99"/>
    <w:pPr>
      <w:jc w:val="left"/>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styleId="9">
    <w:name w:val="Emphasis"/>
    <w:basedOn w:val="7"/>
    <w:qFormat/>
    <w:uiPriority w:val="20"/>
    <w:rPr>
      <w:i/>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List Paragraph"/>
    <w:basedOn w:val="1"/>
    <w:qFormat/>
    <w:uiPriority w:val="34"/>
    <w:pPr>
      <w:ind w:firstLine="420" w:firstLineChars="200"/>
    </w:pPr>
    <w:rPr>
      <w:rFonts w:ascii="等线" w:hAnsi="等线" w:eastAsia="等线" w:cs="Times New Roman"/>
    </w:rPr>
  </w:style>
  <w:style w:type="character" w:customStyle="1" w:styleId="13">
    <w:name w:val="页眉 字符"/>
    <w:basedOn w:val="7"/>
    <w:link w:val="6"/>
    <w:qFormat/>
    <w:uiPriority w:val="99"/>
    <w:rPr>
      <w:sz w:val="18"/>
      <w:szCs w:val="18"/>
    </w:rPr>
  </w:style>
  <w:style w:type="character" w:customStyle="1" w:styleId="14">
    <w:name w:val="页脚 字符"/>
    <w:basedOn w:val="7"/>
    <w:link w:val="5"/>
    <w:qFormat/>
    <w:uiPriority w:val="99"/>
    <w:rPr>
      <w:sz w:val="18"/>
      <w:szCs w:val="18"/>
    </w:rPr>
  </w:style>
  <w:style w:type="character" w:customStyle="1" w:styleId="15">
    <w:name w:val="font01"/>
    <w:basedOn w:val="7"/>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233</Words>
  <Characters>1331</Characters>
  <Lines>11</Lines>
  <Paragraphs>3</Paragraphs>
  <TotalTime>0</TotalTime>
  <ScaleCrop>false</ScaleCrop>
  <LinksUpToDate>false</LinksUpToDate>
  <CharactersWithSpaces>1561</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葛子靖</cp:lastModifiedBy>
  <cp:lastPrinted>2024-05-27T07:51:00Z</cp:lastPrinted>
  <dcterms:modified xsi:type="dcterms:W3CDTF">2026-08-17T08:21:30Z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4D4287F2463D40AB9D9C88C3E4E31AA4</vt:lpwstr>
  </property>
</Properties>
</file>