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eastAsia="方正小标宋简体" w:cs="仿宋_GB2312"/>
          <w:kern w:val="0"/>
          <w:sz w:val="44"/>
          <w:szCs w:val="44"/>
          <w:lang w:val="en-US" w:eastAsia="zh-CN"/>
        </w:rPr>
      </w:pPr>
      <w:r>
        <w:rPr>
          <w:rFonts w:hint="eastAsia" w:ascii="方正小标宋简体" w:eastAsia="方正小标宋简体" w:cs="仿宋_GB2312"/>
          <w:kern w:val="0"/>
          <w:sz w:val="44"/>
          <w:szCs w:val="44"/>
          <w:lang w:val="en-US" w:eastAsia="zh-CN"/>
        </w:rPr>
        <w:t>上海中航航空食品有限公司</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eastAsia="方正小标宋简体" w:cs="仿宋_GB2312"/>
          <w:kern w:val="0"/>
          <w:sz w:val="44"/>
          <w:szCs w:val="44"/>
          <w:lang w:val="en-US" w:eastAsia="zh-CN"/>
        </w:rPr>
      </w:pPr>
      <w:r>
        <w:rPr>
          <w:rFonts w:hint="eastAsia" w:ascii="方正小标宋简体" w:eastAsia="方正小标宋简体" w:cs="仿宋_GB2312"/>
          <w:kern w:val="0"/>
          <w:sz w:val="44"/>
          <w:szCs w:val="44"/>
          <w:lang w:val="en-US" w:eastAsia="zh-CN"/>
        </w:rPr>
        <w:t>浦东厂区电梯机房空调采购项目</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eastAsia="方正小标宋简体" w:cs="仿宋_GB2312"/>
          <w:kern w:val="0"/>
          <w:sz w:val="44"/>
          <w:szCs w:val="44"/>
          <w:lang w:val="en-US" w:eastAsia="zh-CN"/>
        </w:rPr>
      </w:pPr>
      <w:r>
        <w:rPr>
          <w:rFonts w:hint="eastAsia" w:ascii="方正小标宋简体" w:eastAsia="方正小标宋简体" w:cs="仿宋_GB2312"/>
          <w:kern w:val="0"/>
          <w:sz w:val="44"/>
          <w:szCs w:val="44"/>
          <w:lang w:val="en-US" w:eastAsia="zh-CN"/>
        </w:rPr>
        <w:t>采购需求</w:t>
      </w:r>
    </w:p>
    <w:p>
      <w:pPr>
        <w:jc w:val="center"/>
        <w:rPr>
          <w:rFonts w:hint="eastAsia" w:ascii="仿宋" w:hAnsi="仿宋" w:eastAsia="仿宋" w:cs="仿宋"/>
          <w:kern w:val="0"/>
          <w:sz w:val="21"/>
          <w:szCs w:val="21"/>
          <w:lang w:val="en-US" w:eastAsia="zh-CN"/>
        </w:rPr>
      </w:pP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根据中翼航空投资有限公司标准采购管理规程和上海中航航空食品有限公司</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相关</w:t>
      </w:r>
      <w:r>
        <w:rPr>
          <w:rFonts w:hint="eastAsia" w:ascii="仿宋_GB2312" w:hAnsi="微软雅黑" w:eastAsia="仿宋_GB2312" w:cs="微软雅黑"/>
          <w:color w:val="000000" w:themeColor="text1"/>
          <w:kern w:val="0"/>
          <w:sz w:val="32"/>
          <w:szCs w:val="32"/>
          <w14:textFill>
            <w14:solidFill>
              <w14:schemeClr w14:val="tx1"/>
            </w14:solidFill>
          </w14:textFill>
        </w:rPr>
        <w:t>采购管理规定，该项目已具备采购条件。采购申请具体如下：</w:t>
      </w:r>
      <w:bookmarkStart w:id="2" w:name="_GoBack"/>
      <w:bookmarkEnd w:id="2"/>
    </w:p>
    <w:p>
      <w:pPr>
        <w:pStyle w:val="13"/>
        <w:keepNext w:val="0"/>
        <w:keepLines w:val="0"/>
        <w:pageBreakBefore w:val="0"/>
        <w:numPr>
          <w:ilvl w:val="-1"/>
          <w:numId w:val="0"/>
        </w:numPr>
        <w:kinsoku/>
        <w:wordWrap/>
        <w:overflowPunct/>
        <w:topLinePunct w:val="0"/>
        <w:autoSpaceDE/>
        <w:autoSpaceDN/>
        <w:bidi w:val="0"/>
        <w:adjustRightInd w:val="0"/>
        <w:snapToGrid/>
        <w:spacing w:line="336" w:lineRule="auto"/>
        <w:ind w:leftChars="0" w:firstLine="640" w:firstLineChars="200"/>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一、项目概况</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1.项目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背景</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电梯机房作为重要设备运行区域，为确保设备处于良好运行环境，需新增空调设备，通过调节房间温度，为设备稳定运行提供保障。</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2.项目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名称</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微软雅黑" w:eastAsia="仿宋_GB2312" w:cs="微软雅黑"/>
          <w:color w:val="000000" w:themeColor="text1"/>
          <w:kern w:val="0"/>
          <w:sz w:val="32"/>
          <w:szCs w:val="32"/>
          <w:lang w:eastAsia="zh-CN"/>
          <w14:textFill>
            <w14:solidFill>
              <w14:schemeClr w14:val="tx1"/>
            </w14:solidFill>
          </w14:textFill>
        </w:rPr>
        <w:t>上海中航航空食品有限公司</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浦东厂区电梯机房空调采购项目</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3.</w:t>
      </w:r>
      <w:r>
        <w:rPr>
          <w:rFonts w:hint="eastAsia" w:ascii="仿宋_GB2312" w:hAnsi="微软雅黑" w:eastAsia="仿宋_GB2312" w:cs="微软雅黑"/>
          <w:color w:val="000000" w:themeColor="text1"/>
          <w:kern w:val="0"/>
          <w:sz w:val="32"/>
          <w:szCs w:val="32"/>
          <w14:textFill>
            <w14:solidFill>
              <w14:schemeClr w14:val="tx1"/>
            </w14:solidFill>
          </w14:textFill>
        </w:rPr>
        <w:t>合同期限：</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自合同签订后24个月，质保期2年（含）以上。</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14:textFill>
            <w14:solidFill>
              <w14:schemeClr w14:val="tx1"/>
            </w14:solidFill>
          </w14:textFill>
        </w:rPr>
        <w:t>交付期限：</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合同生效起60个自然日内到货安装完成。</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5</w:t>
      </w:r>
      <w:r>
        <w:rPr>
          <w:rFonts w:hint="eastAsia" w:ascii="仿宋_GB2312" w:hAnsi="微软雅黑" w:eastAsia="仿宋_GB2312" w:cs="微软雅黑"/>
          <w:color w:val="000000" w:themeColor="text1"/>
          <w:kern w:val="0"/>
          <w:sz w:val="32"/>
          <w:szCs w:val="32"/>
          <w14:textFill>
            <w14:solidFill>
              <w14:schemeClr w14:val="tx1"/>
            </w14:solidFill>
          </w14:textFill>
        </w:rPr>
        <w:t>.付款方式：</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合同签订后预付合同总价的15%，验收合格并收到增值税专用发票后一个月内支付合同总价的80%，质保期到期后支付剩余的5%。</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6.</w:t>
      </w:r>
      <w:r>
        <w:rPr>
          <w:rFonts w:hint="eastAsia" w:ascii="仿宋_GB2312" w:hAnsi="微软雅黑" w:eastAsia="仿宋_GB2312" w:cs="微软雅黑"/>
          <w:color w:val="000000" w:themeColor="text1"/>
          <w:kern w:val="0"/>
          <w:sz w:val="32"/>
          <w:szCs w:val="32"/>
          <w14:textFill>
            <w14:solidFill>
              <w14:schemeClr w14:val="tx1"/>
            </w14:solidFill>
          </w14:textFill>
        </w:rPr>
        <w:t>项目地点：</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上海市浦东新区领航路100号。</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7.执行标准：</w:t>
      </w:r>
    </w:p>
    <w:tbl>
      <w:tblPr>
        <w:tblStyle w:val="9"/>
        <w:tblW w:w="874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1"/>
        <w:gridCol w:w="5430"/>
        <w:gridCol w:w="247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4"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14:textFill>
                  <w14:solidFill>
                    <w14:schemeClr w14:val="tx1"/>
                  </w14:solidFill>
                </w14:textFill>
              </w:rPr>
            </w:pPr>
            <w:r>
              <w:rPr>
                <w:rFonts w:hint="eastAsia" w:ascii="仿宋_GB2312" w:hAnsi="微软雅黑" w:eastAsia="仿宋_GB2312" w:cs="微软雅黑"/>
                <w:color w:val="000000" w:themeColor="text1"/>
                <w:kern w:val="0"/>
                <w:sz w:val="28"/>
                <w:szCs w:val="28"/>
                <w:lang w:val="en-US" w:eastAsia="zh-CN"/>
                <w14:textFill>
                  <w14:solidFill>
                    <w14:schemeClr w14:val="tx1"/>
                  </w14:solidFill>
                </w14:textFill>
              </w:rPr>
              <w:t>序号</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ind w:firstLine="560" w:firstLineChars="200"/>
              <w:jc w:val="center"/>
              <w:rPr>
                <w:rFonts w:hint="eastAsia" w:ascii="仿宋_GB2312" w:hAnsi="微软雅黑" w:eastAsia="仿宋_GB2312" w:cs="微软雅黑"/>
                <w:color w:val="000000" w:themeColor="text1"/>
                <w:kern w:val="0"/>
                <w:sz w:val="28"/>
                <w:szCs w:val="28"/>
                <w14:textFill>
                  <w14:solidFill>
                    <w14:schemeClr w14:val="tx1"/>
                  </w14:solidFill>
                </w14:textFill>
              </w:rPr>
            </w:pPr>
            <w:r>
              <w:rPr>
                <w:rFonts w:hint="eastAsia" w:ascii="仿宋_GB2312" w:hAnsi="微软雅黑" w:eastAsia="仿宋_GB2312" w:cs="微软雅黑"/>
                <w:color w:val="000000" w:themeColor="text1"/>
                <w:kern w:val="0"/>
                <w:sz w:val="28"/>
                <w:szCs w:val="28"/>
                <w14:textFill>
                  <w14:solidFill>
                    <w14:schemeClr w14:val="tx1"/>
                  </w14:solidFill>
                </w14:textFill>
              </w:rPr>
              <w:t>规范名称</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编号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9"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14:textFill>
                  <w14:solidFill>
                    <w14:schemeClr w14:val="tx1"/>
                  </w14:solidFill>
                </w14:textFill>
              </w:rPr>
            </w:pPr>
            <w:r>
              <w:rPr>
                <w:rFonts w:hint="eastAsia" w:ascii="仿宋_GB2312" w:hAnsi="微软雅黑" w:eastAsia="仿宋_GB2312" w:cs="微软雅黑"/>
                <w:color w:val="000000" w:themeColor="text1"/>
                <w:kern w:val="0"/>
                <w:sz w:val="28"/>
                <w:szCs w:val="28"/>
                <w:lang w:val="en-US" w:eastAsia="zh-CN"/>
                <w14:textFill>
                  <w14:solidFill>
                    <w14:schemeClr w14:val="tx1"/>
                  </w14:solidFill>
                </w14:textFill>
              </w:rPr>
              <w:t>1</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jc w:val="left"/>
              <w:rPr>
                <w:rFonts w:hint="eastAsia" w:ascii="仿宋_GB2312" w:hAnsi="微软雅黑" w:eastAsia="仿宋_GB2312" w:cs="微软雅黑"/>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lang w:val="en-US" w:eastAsia="zh-CN"/>
                <w14:textFill>
                  <w14:solidFill>
                    <w14:schemeClr w14:val="tx1"/>
                  </w14:solidFill>
                </w14:textFill>
              </w:rPr>
              <w:t>《房间空气调节器能效限定值及能效等级》</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jc w:val="both"/>
              <w:rPr>
                <w:rFonts w:hint="eastAsia" w:ascii="仿宋_GB2312" w:hAnsi="微软雅黑" w:eastAsia="仿宋_GB2312" w:cs="微软雅黑"/>
                <w:color w:val="000000" w:themeColor="text1"/>
                <w:kern w:val="0"/>
                <w:sz w:val="24"/>
                <w:szCs w:val="24"/>
                <w:lang w:val="en-US" w:eastAsia="zh-CN"/>
                <w14:textFill>
                  <w14:solidFill>
                    <w14:schemeClr w14:val="tx1"/>
                  </w14:solidFill>
                </w14:textFill>
              </w:rPr>
            </w:pPr>
            <w:r>
              <w:rPr>
                <w:rFonts w:hint="eastAsia" w:ascii="仿宋_GB2312" w:hAnsi="微软雅黑" w:eastAsia="仿宋_GB2312" w:cs="微软雅黑"/>
                <w:color w:val="000000" w:themeColor="text1"/>
                <w:kern w:val="0"/>
                <w:sz w:val="24"/>
                <w:szCs w:val="24"/>
                <w:lang w:val="en-US" w:eastAsia="zh-CN"/>
                <w14:textFill>
                  <w14:solidFill>
                    <w14:schemeClr w14:val="tx1"/>
                  </w14:solidFill>
                </w14:textFill>
              </w:rPr>
              <w:t>GB 21455-2019</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14:textFill>
                  <w14:solidFill>
                    <w14:schemeClr w14:val="tx1"/>
                  </w14:solidFill>
                </w14:textFill>
              </w:rPr>
            </w:pPr>
            <w:r>
              <w:rPr>
                <w:rFonts w:hint="eastAsia" w:ascii="仿宋_GB2312" w:hAnsi="微软雅黑" w:eastAsia="仿宋_GB2312" w:cs="微软雅黑"/>
                <w:color w:val="000000" w:themeColor="text1"/>
                <w:kern w:val="0"/>
                <w:sz w:val="28"/>
                <w:szCs w:val="28"/>
                <w:lang w:val="en-US" w:eastAsia="zh-CN"/>
                <w14:textFill>
                  <w14:solidFill>
                    <w14:schemeClr w14:val="tx1"/>
                  </w14:solidFill>
                </w14:textFill>
              </w:rPr>
              <w:t>2</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jc w:val="left"/>
              <w:rPr>
                <w:rFonts w:hint="eastAsia" w:ascii="仿宋_GB2312" w:hAnsi="微软雅黑" w:eastAsia="仿宋_GB2312" w:cs="微软雅黑"/>
                <w:color w:val="000000" w:themeColor="text1"/>
                <w:kern w:val="0"/>
                <w:sz w:val="21"/>
                <w:szCs w:val="21"/>
                <w14:textFill>
                  <w14:solidFill>
                    <w14:schemeClr w14:val="tx1"/>
                  </w14:solidFill>
                </w14:textFill>
              </w:rPr>
            </w:pPr>
            <w:r>
              <w:rPr>
                <w:rFonts w:hint="eastAsia" w:ascii="仿宋_GB2312" w:hAnsi="微软雅黑" w:eastAsia="仿宋_GB2312" w:cs="微软雅黑"/>
                <w:color w:val="000000" w:themeColor="text1"/>
                <w:kern w:val="0"/>
                <w:sz w:val="21"/>
                <w:szCs w:val="21"/>
                <w14:textFill>
                  <w14:solidFill>
                    <w14:schemeClr w14:val="tx1"/>
                  </w14:solidFill>
                </w14:textFill>
              </w:rPr>
              <w:t>《空调与制冷设备用铜及铜合金无缝管》</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jc w:val="both"/>
              <w:rPr>
                <w:rFonts w:hint="eastAsia" w:ascii="仿宋_GB2312" w:hAnsi="微软雅黑" w:eastAsia="仿宋_GB2312" w:cs="微软雅黑"/>
                <w:color w:val="000000" w:themeColor="text1"/>
                <w:kern w:val="0"/>
                <w:sz w:val="24"/>
                <w:szCs w:val="24"/>
                <w:lang w:val="en-US" w:eastAsia="zh-CN"/>
                <w14:textFill>
                  <w14:solidFill>
                    <w14:schemeClr w14:val="tx1"/>
                  </w14:solidFill>
                </w14:textFill>
              </w:rPr>
            </w:pPr>
            <w:r>
              <w:rPr>
                <w:rFonts w:hint="eastAsia" w:ascii="仿宋_GB2312" w:hAnsi="微软雅黑" w:eastAsia="仿宋_GB2312" w:cs="微软雅黑"/>
                <w:color w:val="000000" w:themeColor="text1"/>
                <w:kern w:val="0"/>
                <w:sz w:val="24"/>
                <w:szCs w:val="24"/>
                <w:lang w:val="en-US" w:eastAsia="zh-CN"/>
                <w14:textFill>
                  <w14:solidFill>
                    <w14:schemeClr w14:val="tx1"/>
                  </w14:solidFill>
                </w14:textFill>
              </w:rPr>
              <w:t>GB/T 17791-2017</w:t>
            </w:r>
          </w:p>
        </w:tc>
      </w:tr>
    </w:tbl>
    <w:p>
      <w:pPr>
        <w:pStyle w:val="13"/>
        <w:keepNext w:val="0"/>
        <w:keepLines w:val="0"/>
        <w:pageBreakBefore w:val="0"/>
        <w:numPr>
          <w:ilvl w:val="0"/>
          <w:numId w:val="0"/>
        </w:numPr>
        <w:kinsoku/>
        <w:wordWrap/>
        <w:overflowPunct/>
        <w:topLinePunct w:val="0"/>
        <w:autoSpaceDE/>
        <w:autoSpaceDN/>
        <w:bidi w:val="0"/>
        <w:snapToGrid/>
        <w:spacing w:line="336" w:lineRule="auto"/>
        <w:ind w:leftChars="0" w:firstLine="640" w:firstLineChars="200"/>
        <w:rPr>
          <w:rFonts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二、</w:t>
      </w:r>
      <w:r>
        <w:rPr>
          <w:rFonts w:hint="eastAsia" w:ascii="黑体" w:hAnsi="黑体" w:eastAsia="黑体" w:cs="微软雅黑"/>
          <w:color w:val="000000" w:themeColor="text1"/>
          <w:kern w:val="0"/>
          <w:sz w:val="32"/>
          <w:szCs w:val="32"/>
          <w14:textFill>
            <w14:solidFill>
              <w14:schemeClr w14:val="tx1"/>
            </w14:solidFill>
          </w14:textFill>
        </w:rPr>
        <w:t>采购计划批复情况</w:t>
      </w:r>
    </w:p>
    <w:p>
      <w:pPr>
        <w:pStyle w:val="13"/>
        <w:keepNext w:val="0"/>
        <w:keepLines w:val="0"/>
        <w:pageBreakBefore w:val="0"/>
        <w:numPr>
          <w:ilvl w:val="0"/>
          <w:numId w:val="0"/>
        </w:numPr>
        <w:kinsoku/>
        <w:wordWrap/>
        <w:overflowPunct/>
        <w:topLinePunct w:val="0"/>
        <w:autoSpaceDE/>
        <w:autoSpaceDN/>
        <w:bidi w:val="0"/>
        <w:snapToGrid/>
        <w:spacing w:line="336" w:lineRule="auto"/>
        <w:ind w:firstLine="640" w:firstLineChars="200"/>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bidi="ar-SA"/>
          <w14:textFill>
            <w14:solidFill>
              <w14:schemeClr w14:val="tx1"/>
            </w14:solidFill>
          </w14:textFill>
        </w:rPr>
        <w:t>已批复。</w:t>
      </w:r>
    </w:p>
    <w:p>
      <w:pPr>
        <w:pStyle w:val="13"/>
        <w:keepNext w:val="0"/>
        <w:keepLines w:val="0"/>
        <w:pageBreakBefore w:val="0"/>
        <w:numPr>
          <w:ilvl w:val="0"/>
          <w:numId w:val="0"/>
        </w:numPr>
        <w:kinsoku/>
        <w:wordWrap/>
        <w:overflowPunct/>
        <w:topLinePunct w:val="0"/>
        <w:autoSpaceDE/>
        <w:autoSpaceDN/>
        <w:bidi w:val="0"/>
        <w:adjustRightInd w:val="0"/>
        <w:snapToGrid/>
        <w:spacing w:line="336" w:lineRule="auto"/>
        <w:ind w:firstLine="640" w:firstLineChars="200"/>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三、采购需求</w:t>
      </w:r>
    </w:p>
    <w:p>
      <w:pPr>
        <w:keepNext w:val="0"/>
        <w:keepLines w:val="0"/>
        <w:pageBreakBefore w:val="0"/>
        <w:numPr>
          <w:ilvl w:val="0"/>
          <w:numId w:val="0"/>
        </w:numPr>
        <w:kinsoku/>
        <w:wordWrap/>
        <w:overflowPunct/>
        <w:topLinePunct w:val="0"/>
        <w:autoSpaceDE/>
        <w:autoSpaceDN/>
        <w:bidi w:val="0"/>
        <w:snapToGrid/>
        <w:spacing w:line="336" w:lineRule="auto"/>
        <w:ind w:firstLine="640" w:firstLineChars="200"/>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（一）空调设备详情</w:t>
      </w:r>
    </w:p>
    <w:p>
      <w:pPr>
        <w:keepNext w:val="0"/>
        <w:keepLines w:val="0"/>
        <w:pageBreakBefore w:val="0"/>
        <w:numPr>
          <w:ilvl w:val="0"/>
          <w:numId w:val="0"/>
        </w:numPr>
        <w:kinsoku/>
        <w:wordWrap/>
        <w:overflowPunct/>
        <w:topLinePunct w:val="0"/>
        <w:autoSpaceDE/>
        <w:autoSpaceDN/>
        <w:bidi w:val="0"/>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1.A：分体柜机4套（5匹），国产品牌，制冷量≥12kw,电源380V，</w:t>
      </w:r>
      <w:r>
        <w:rPr>
          <w:rFonts w:hint="eastAsia" w:ascii="仿宋_GB2312" w:hAnsi="微软雅黑" w:eastAsia="仿宋_GB2312" w:cs="微软雅黑"/>
          <w:strike w:val="0"/>
          <w:color w:val="000000" w:themeColor="text1"/>
          <w:kern w:val="0"/>
          <w:sz w:val="32"/>
          <w:szCs w:val="32"/>
          <w:lang w:val="en-US" w:eastAsia="zh-CN"/>
          <w14:textFill>
            <w14:solidFill>
              <w14:schemeClr w14:val="tx1"/>
            </w14:solidFill>
          </w14:textFill>
        </w:rPr>
        <w:t>制冷功率</w:t>
      </w:r>
      <w:r>
        <w:rPr>
          <w:rFonts w:hint="eastAsia" w:ascii="仿宋_GB2312" w:hAnsi="仿宋_GB2312" w:eastAsia="仿宋_GB2312" w:cs="仿宋_GB2312"/>
          <w:strike w:val="0"/>
          <w:color w:val="000000" w:themeColor="text1"/>
          <w:kern w:val="0"/>
          <w:sz w:val="32"/>
          <w:szCs w:val="32"/>
          <w:lang w:val="en-US" w:eastAsia="zh-CN"/>
          <w14:textFill>
            <w14:solidFill>
              <w14:schemeClr w14:val="tx1"/>
            </w14:solidFill>
          </w14:textFill>
        </w:rPr>
        <w:t>≤</w:t>
      </w:r>
      <w:r>
        <w:rPr>
          <w:rFonts w:hint="eastAsia" w:ascii="仿宋_GB2312" w:hAnsi="微软雅黑" w:eastAsia="仿宋_GB2312" w:cs="微软雅黑"/>
          <w:strike w:val="0"/>
          <w:color w:val="000000" w:themeColor="text1"/>
          <w:kern w:val="0"/>
          <w:sz w:val="32"/>
          <w:szCs w:val="32"/>
          <w:lang w:val="en-US" w:eastAsia="zh-CN"/>
          <w14:textFill>
            <w14:solidFill>
              <w14:schemeClr w14:val="tx1"/>
            </w14:solidFill>
          </w14:textFill>
        </w:rPr>
        <w:t>5.2KW,</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室</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内机噪音≤60分贝，</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冷媒类型为环保冷媒，</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一级能效，</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安装于电梯机房。</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br w:type="textWrapping"/>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 xml:space="preserve">     B：分体挂机1套（2匹），国产品牌，制冷量≥5kw,电源220V，制冷功率</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1.26KW,</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噪音≤43分贝，</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冷媒类型为环保冷媒，</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一级能效，</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安装于电梯机房。</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2.所有空调应具备高低压、排气温度、防冻结、过滤、过压、压机驱动等保护装置。</w:t>
      </w:r>
    </w:p>
    <w:p>
      <w:pPr>
        <w:keepNext w:val="0"/>
        <w:keepLines w:val="0"/>
        <w:pageBreakBefore w:val="0"/>
        <w:kinsoku/>
        <w:wordWrap/>
        <w:overflowPunct/>
        <w:topLinePunct w:val="0"/>
        <w:autoSpaceDE/>
        <w:autoSpaceDN/>
        <w:bidi w:val="0"/>
        <w:snapToGrid/>
        <w:spacing w:line="336" w:lineRule="auto"/>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3.空调使用的制冷剂</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为环保冷媒</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（如：R410A，R32）。</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4.空调安转费包含（冷凝水管、铜管、保温管、不锈钢支架、电缆等）</w:t>
      </w:r>
    </w:p>
    <w:p>
      <w:pPr>
        <w:keepNext w:val="0"/>
        <w:keepLines w:val="0"/>
        <w:pageBreakBefore w:val="0"/>
        <w:kinsoku/>
        <w:wordWrap/>
        <w:overflowPunct/>
        <w:topLinePunct w:val="0"/>
        <w:autoSpaceDE/>
        <w:autoSpaceDN/>
        <w:bidi w:val="0"/>
        <w:snapToGrid/>
        <w:spacing w:line="336" w:lineRule="auto"/>
        <w:ind w:firstLine="640" w:firstLineChars="200"/>
        <w:rPr>
          <w:rFonts w:hint="default"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5.夏季设备连续工作时长为24小时</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（二）安装要求</w:t>
      </w:r>
    </w:p>
    <w:p>
      <w:pPr>
        <w:keepNext w:val="0"/>
        <w:keepLines w:val="0"/>
        <w:pageBreakBefore w:val="0"/>
        <w:numPr>
          <w:ilvl w:val="0"/>
          <w:numId w:val="0"/>
        </w:numPr>
        <w:kinsoku/>
        <w:wordWrap/>
        <w:overflowPunct/>
        <w:topLinePunct w:val="0"/>
        <w:autoSpaceDE/>
        <w:autoSpaceDN/>
        <w:bidi w:val="0"/>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1.分体柜机的内机安装需不锈钢底座抬高。</w:t>
      </w:r>
    </w:p>
    <w:p>
      <w:pPr>
        <w:keepNext w:val="0"/>
        <w:keepLines w:val="0"/>
        <w:pageBreakBefore w:val="0"/>
        <w:numPr>
          <w:ilvl w:val="0"/>
          <w:numId w:val="0"/>
        </w:numPr>
        <w:kinsoku/>
        <w:wordWrap/>
        <w:overflowPunct/>
        <w:topLinePunct w:val="0"/>
        <w:autoSpaceDE/>
        <w:autoSpaceDN/>
        <w:bidi w:val="0"/>
        <w:snapToGrid/>
        <w:spacing w:line="336" w:lineRule="auto"/>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2.新机组室内、外机组的安装、管道连接、保温、电源与控制的安装和连接、设备调试等。</w:t>
      </w:r>
    </w:p>
    <w:p>
      <w:pPr>
        <w:keepNext w:val="0"/>
        <w:keepLines w:val="0"/>
        <w:pageBreakBefore w:val="0"/>
        <w:numPr>
          <w:ilvl w:val="0"/>
          <w:numId w:val="0"/>
        </w:numPr>
        <w:kinsoku/>
        <w:wordWrap/>
        <w:overflowPunct/>
        <w:topLinePunct w:val="0"/>
        <w:autoSpaceDE/>
        <w:autoSpaceDN/>
        <w:bidi w:val="0"/>
        <w:snapToGrid/>
        <w:spacing w:line="336" w:lineRule="auto"/>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设备安装人员需具备相关的特种作业操作证资质。</w:t>
      </w:r>
    </w:p>
    <w:p>
      <w:pPr>
        <w:keepNext w:val="0"/>
        <w:keepLines w:val="0"/>
        <w:pageBreakBefore w:val="0"/>
        <w:numPr>
          <w:ilvl w:val="0"/>
          <w:numId w:val="1"/>
        </w:numPr>
        <w:kinsoku/>
        <w:wordWrap/>
        <w:overflowPunct/>
        <w:topLinePunct w:val="0"/>
        <w:autoSpaceDE/>
        <w:autoSpaceDN/>
        <w:bidi w:val="0"/>
        <w:snapToGrid/>
        <w:spacing w:line="336" w:lineRule="auto"/>
        <w:ind w:firstLine="640" w:firstLineChars="200"/>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供应商须勘察现场</w:t>
      </w:r>
    </w:p>
    <w:p>
      <w:pPr>
        <w:pStyle w:val="13"/>
        <w:keepNext w:val="0"/>
        <w:keepLines w:val="0"/>
        <w:pageBreakBefore w:val="0"/>
        <w:numPr>
          <w:ilvl w:val="-1"/>
          <w:numId w:val="0"/>
        </w:numPr>
        <w:kinsoku/>
        <w:wordWrap/>
        <w:overflowPunct/>
        <w:topLinePunct w:val="0"/>
        <w:autoSpaceDE/>
        <w:autoSpaceDN/>
        <w:bidi w:val="0"/>
        <w:adjustRightInd w:val="0"/>
        <w:snapToGrid/>
        <w:spacing w:line="336" w:lineRule="auto"/>
        <w:ind w:leftChars="0" w:firstLine="640" w:firstLineChars="200"/>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四、供应商资质</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供应商应</w:t>
      </w:r>
      <w:bookmarkStart w:id="0" w:name="OLE_LINK3"/>
      <w:bookmarkEnd w:id="0"/>
      <w:bookmarkStart w:id="1" w:name="page5"/>
      <w:bookmarkEnd w:id="1"/>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营业范围需包含：生产、销售或安装制冷、空调设备。</w:t>
      </w:r>
    </w:p>
    <w:p>
      <w:pPr>
        <w:pStyle w:val="13"/>
        <w:numPr>
          <w:ilvl w:val="-1"/>
          <w:numId w:val="0"/>
        </w:numPr>
        <w:adjustRightInd w:val="0"/>
        <w:spacing w:line="336" w:lineRule="auto"/>
        <w:rPr>
          <w:rFonts w:hint="eastAsia" w:ascii="黑体" w:hAnsi="黑体" w:eastAsia="黑体" w:cs="微软雅黑"/>
          <w:color w:val="000000" w:themeColor="text1"/>
          <w:kern w:val="0"/>
          <w:sz w:val="32"/>
          <w:szCs w:val="32"/>
          <w:lang w:val="en-US" w:eastAsia="zh-CN"/>
          <w14:textFill>
            <w14:solidFill>
              <w14:schemeClr w14:val="tx1"/>
            </w14:solidFill>
          </w14:textFill>
        </w:rPr>
      </w:pPr>
    </w:p>
    <w:p>
      <w:pPr>
        <w:pStyle w:val="13"/>
        <w:numPr>
          <w:ilvl w:val="-1"/>
          <w:numId w:val="0"/>
        </w:numPr>
        <w:adjustRightInd w:val="0"/>
        <w:spacing w:line="336" w:lineRule="auto"/>
        <w:rPr>
          <w:rFonts w:hint="eastAsia" w:ascii="黑体" w:hAnsi="黑体" w:eastAsia="黑体" w:cs="微软雅黑"/>
          <w:color w:val="000000" w:themeColor="text1"/>
          <w:kern w:val="0"/>
          <w:sz w:val="32"/>
          <w:szCs w:val="32"/>
          <w:lang w:val="en-US" w:eastAsia="zh-CN"/>
          <w14:textFill>
            <w14:solidFill>
              <w14:schemeClr w14:val="tx1"/>
            </w14:solidFill>
          </w14:textFill>
        </w:rPr>
      </w:pPr>
    </w:p>
    <w:p>
      <w:pPr>
        <w:spacing w:line="336" w:lineRule="auto"/>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附件一：报价清单</w:t>
      </w:r>
    </w:p>
    <w:p>
      <w:pPr>
        <w:pStyle w:val="13"/>
        <w:numPr>
          <w:ilvl w:val="-1"/>
          <w:numId w:val="0"/>
        </w:numPr>
        <w:adjustRightInd w:val="0"/>
        <w:spacing w:line="336" w:lineRule="auto"/>
        <w:ind w:leftChars="0" w:firstLine="480" w:firstLineChars="200"/>
        <w:rPr>
          <w:rFonts w:hint="default" w:ascii="黑体" w:hAnsi="黑体" w:eastAsia="黑体" w:cs="微软雅黑"/>
          <w:color w:val="000000" w:themeColor="text1"/>
          <w:kern w:val="0"/>
          <w:sz w:val="24"/>
          <w:szCs w:val="24"/>
          <w:lang w:val="en-US" w:eastAsia="zh-CN"/>
          <w14:textFill>
            <w14:solidFill>
              <w14:schemeClr w14:val="tx1"/>
            </w14:solidFill>
          </w14:textFill>
        </w:rPr>
      </w:pPr>
      <w:r>
        <w:rPr>
          <w:rFonts w:hint="eastAsia" w:ascii="黑体" w:hAnsi="黑体" w:eastAsia="黑体" w:cs="微软雅黑"/>
          <w:color w:val="000000" w:themeColor="text1"/>
          <w:kern w:val="0"/>
          <w:sz w:val="24"/>
          <w:szCs w:val="24"/>
          <w:lang w:val="en-US" w:eastAsia="zh-CN"/>
          <w14:textFill>
            <w14:solidFill>
              <w14:schemeClr w14:val="tx1"/>
            </w14:solidFill>
          </w14:textFill>
        </w:rPr>
        <w:t>（包括供应商完成本项服务所需的场地、物料、管线、人工、设备、运输、搬运、装卸、调试、保险等一切相关费用，以及供应商在此期间所需缴纳的全部税费（含增值税）等费用）</w:t>
      </w:r>
    </w:p>
    <w:tbl>
      <w:tblPr>
        <w:tblStyle w:val="10"/>
        <w:tblW w:w="8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896"/>
        <w:gridCol w:w="685"/>
        <w:gridCol w:w="868"/>
        <w:gridCol w:w="701"/>
        <w:gridCol w:w="902"/>
        <w:gridCol w:w="701"/>
        <w:gridCol w:w="919"/>
        <w:gridCol w:w="1018"/>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619" w:type="dxa"/>
            <w:vAlign w:val="center"/>
          </w:tcPr>
          <w:p>
            <w:pPr>
              <w:keepNext/>
              <w:keepLines w:val="0"/>
              <w:widowControl/>
              <w:suppressLineNumbers w:val="0"/>
              <w:snapToGrid w:val="0"/>
              <w:jc w:val="center"/>
              <w:textAlignment w:val="center"/>
              <w:rPr>
                <w:rFonts w:hint="eastAsia"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序号</w:t>
            </w:r>
          </w:p>
        </w:tc>
        <w:tc>
          <w:tcPr>
            <w:tcW w:w="896" w:type="dxa"/>
            <w:vAlign w:val="center"/>
          </w:tcPr>
          <w:p>
            <w:pPr>
              <w:keepNext/>
              <w:keepLines w:val="0"/>
              <w:widowControl/>
              <w:suppressLineNumbers w:val="0"/>
              <w:snapToGrid w:val="0"/>
              <w:jc w:val="center"/>
              <w:textAlignment w:val="center"/>
              <w:rPr>
                <w:rFonts w:hint="eastAsia"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设备</w:t>
            </w:r>
          </w:p>
        </w:tc>
        <w:tc>
          <w:tcPr>
            <w:tcW w:w="685" w:type="dxa"/>
            <w:vAlign w:val="center"/>
          </w:tcPr>
          <w:p>
            <w:pPr>
              <w:keepNext/>
              <w:keepLines w:val="0"/>
              <w:widowControl/>
              <w:suppressLineNumbers w:val="0"/>
              <w:snapToGrid w:val="0"/>
              <w:jc w:val="center"/>
              <w:textAlignment w:val="center"/>
              <w:rPr>
                <w:rFonts w:hint="eastAsia"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数量</w:t>
            </w:r>
          </w:p>
        </w:tc>
        <w:tc>
          <w:tcPr>
            <w:tcW w:w="868" w:type="dxa"/>
            <w:vAlign w:val="center"/>
          </w:tcPr>
          <w:p>
            <w:pPr>
              <w:keepNext/>
              <w:keepLines w:val="0"/>
              <w:widowControl/>
              <w:suppressLineNumbers w:val="0"/>
              <w:snapToGrid w:val="0"/>
              <w:jc w:val="center"/>
              <w:textAlignment w:val="center"/>
              <w:rPr>
                <w:rFonts w:hint="default"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单位</w:t>
            </w:r>
          </w:p>
        </w:tc>
        <w:tc>
          <w:tcPr>
            <w:tcW w:w="701" w:type="dxa"/>
            <w:vAlign w:val="center"/>
          </w:tcPr>
          <w:p>
            <w:pPr>
              <w:keepNext/>
              <w:keepLines w:val="0"/>
              <w:widowControl/>
              <w:suppressLineNumbers w:val="0"/>
              <w:snapToGrid w:val="0"/>
              <w:jc w:val="center"/>
              <w:textAlignment w:val="center"/>
              <w:rPr>
                <w:rFonts w:hint="default"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单价</w:t>
            </w:r>
          </w:p>
        </w:tc>
        <w:tc>
          <w:tcPr>
            <w:tcW w:w="902" w:type="dxa"/>
            <w:vAlign w:val="center"/>
          </w:tcPr>
          <w:p>
            <w:pPr>
              <w:keepNext/>
              <w:keepLines w:val="0"/>
              <w:widowControl/>
              <w:suppressLineNumbers w:val="0"/>
              <w:snapToGrid w:val="0"/>
              <w:jc w:val="center"/>
              <w:textAlignment w:val="center"/>
              <w:rPr>
                <w:rFonts w:hint="eastAsia"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未税</w:t>
            </w:r>
          </w:p>
          <w:p>
            <w:pPr>
              <w:keepNext/>
              <w:keepLines w:val="0"/>
              <w:widowControl/>
              <w:suppressLineNumbers w:val="0"/>
              <w:snapToGrid w:val="0"/>
              <w:jc w:val="center"/>
              <w:textAlignment w:val="center"/>
              <w:rPr>
                <w:rFonts w:hint="default"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总价</w:t>
            </w:r>
          </w:p>
        </w:tc>
        <w:tc>
          <w:tcPr>
            <w:tcW w:w="701" w:type="dxa"/>
            <w:vAlign w:val="center"/>
          </w:tcPr>
          <w:p>
            <w:pPr>
              <w:keepNext/>
              <w:keepLines w:val="0"/>
              <w:widowControl/>
              <w:suppressLineNumbers w:val="0"/>
              <w:snapToGrid w:val="0"/>
              <w:jc w:val="center"/>
              <w:textAlignment w:val="center"/>
              <w:rPr>
                <w:rFonts w:hint="eastAsia"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税率</w:t>
            </w:r>
          </w:p>
        </w:tc>
        <w:tc>
          <w:tcPr>
            <w:tcW w:w="919" w:type="dxa"/>
            <w:vAlign w:val="center"/>
          </w:tcPr>
          <w:p>
            <w:pPr>
              <w:keepNext/>
              <w:keepLines w:val="0"/>
              <w:widowControl/>
              <w:suppressLineNumbers w:val="0"/>
              <w:snapToGrid w:val="0"/>
              <w:jc w:val="center"/>
              <w:textAlignment w:val="center"/>
              <w:rPr>
                <w:rFonts w:hint="default"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未税总价</w:t>
            </w:r>
          </w:p>
        </w:tc>
        <w:tc>
          <w:tcPr>
            <w:tcW w:w="1018" w:type="dxa"/>
            <w:vAlign w:val="center"/>
          </w:tcPr>
          <w:p>
            <w:pPr>
              <w:keepNext/>
              <w:keepLines w:val="0"/>
              <w:widowControl/>
              <w:suppressLineNumbers w:val="0"/>
              <w:snapToGrid w:val="0"/>
              <w:jc w:val="center"/>
              <w:textAlignment w:val="center"/>
              <w:rPr>
                <w:rFonts w:hint="eastAsia"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含税总价</w:t>
            </w:r>
          </w:p>
        </w:tc>
        <w:tc>
          <w:tcPr>
            <w:tcW w:w="868" w:type="dxa"/>
            <w:vAlign w:val="center"/>
          </w:tcPr>
          <w:p>
            <w:pPr>
              <w:keepNext/>
              <w:keepLines w:val="0"/>
              <w:widowControl/>
              <w:suppressLineNumbers w:val="0"/>
              <w:snapToGrid w:val="0"/>
              <w:jc w:val="center"/>
              <w:textAlignment w:val="center"/>
              <w:rPr>
                <w:rFonts w:hint="eastAsia" w:ascii="微软雅黑" w:hAnsi="微软雅黑" w:eastAsia="微软雅黑" w:cs="微软雅黑"/>
                <w:b/>
                <w:i w:val="0"/>
                <w:color w:val="000000"/>
                <w:kern w:val="0"/>
                <w:sz w:val="24"/>
                <w:szCs w:val="24"/>
                <w:u w:val="none"/>
                <w:lang w:val="en-US" w:eastAsia="zh-CN" w:bidi="ar"/>
              </w:rPr>
            </w:pPr>
            <w:r>
              <w:rPr>
                <w:rFonts w:hint="eastAsia" w:ascii="微软雅黑" w:hAnsi="微软雅黑" w:eastAsia="微软雅黑" w:cs="微软雅黑"/>
                <w:b/>
                <w:i w:val="0"/>
                <w:color w:val="000000"/>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9"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896"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柜机</w:t>
            </w:r>
          </w:p>
        </w:tc>
        <w:tc>
          <w:tcPr>
            <w:tcW w:w="685"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868" w:type="dxa"/>
            <w:vAlign w:val="center"/>
          </w:tcPr>
          <w:p>
            <w:pPr>
              <w:keepNext/>
              <w:keepLines w:val="0"/>
              <w:widowControl/>
              <w:suppressLineNumbers w:val="0"/>
              <w:snapToGrid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套</w:t>
            </w:r>
          </w:p>
        </w:tc>
        <w:tc>
          <w:tcPr>
            <w:tcW w:w="701"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902"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701"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919"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1018"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868" w:type="dxa"/>
            <w:vAlign w:val="center"/>
          </w:tcPr>
          <w:p>
            <w:pPr>
              <w:keepNext/>
              <w:keepLines w:val="0"/>
              <w:widowControl/>
              <w:suppressLineNumbers w:val="0"/>
              <w:snapToGrid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619"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896"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挂机</w:t>
            </w:r>
          </w:p>
        </w:tc>
        <w:tc>
          <w:tcPr>
            <w:tcW w:w="685"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868"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套</w:t>
            </w:r>
          </w:p>
          <w:p>
            <w:pPr>
              <w:keepNext/>
              <w:keepLines w:val="0"/>
              <w:widowControl/>
              <w:suppressLineNumbers w:val="0"/>
              <w:snapToGrid w:val="0"/>
              <w:jc w:val="center"/>
              <w:textAlignment w:val="center"/>
              <w:rPr>
                <w:rFonts w:hint="default" w:ascii="宋体" w:hAnsi="宋体" w:eastAsia="宋体" w:cs="宋体"/>
                <w:i w:val="0"/>
                <w:color w:val="000000"/>
                <w:kern w:val="0"/>
                <w:sz w:val="24"/>
                <w:szCs w:val="24"/>
                <w:u w:val="none"/>
                <w:lang w:val="en-US" w:eastAsia="zh-CN" w:bidi="ar"/>
              </w:rPr>
            </w:pPr>
          </w:p>
        </w:tc>
        <w:tc>
          <w:tcPr>
            <w:tcW w:w="701"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902"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701"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919"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1018"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868" w:type="dxa"/>
            <w:vAlign w:val="center"/>
          </w:tcPr>
          <w:p>
            <w:pPr>
              <w:keepNext/>
              <w:keepLines w:val="0"/>
              <w:widowControl/>
              <w:suppressLineNumbers w:val="0"/>
              <w:snapToGrid w:val="0"/>
              <w:jc w:val="center"/>
              <w:textAlignment w:val="center"/>
              <w:rPr>
                <w:rFonts w:hint="default" w:ascii="宋体" w:hAnsi="宋体" w:eastAsia="宋体" w:cs="宋体"/>
                <w:i w:val="0"/>
                <w:color w:val="000000"/>
                <w:kern w:val="0"/>
                <w:sz w:val="24"/>
                <w:szCs w:val="24"/>
                <w:highlight w:val="red"/>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2P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619"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896" w:type="dxa"/>
            <w:vAlign w:val="center"/>
          </w:tcPr>
          <w:p>
            <w:pPr>
              <w:keepNext/>
              <w:keepLines w:val="0"/>
              <w:widowControl/>
              <w:suppressLineNumbers w:val="0"/>
              <w:snapToGrid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安装费</w:t>
            </w:r>
          </w:p>
        </w:tc>
        <w:tc>
          <w:tcPr>
            <w:tcW w:w="685" w:type="dxa"/>
            <w:vAlign w:val="center"/>
          </w:tcPr>
          <w:p>
            <w:pPr>
              <w:keepNext/>
              <w:keepLines w:val="0"/>
              <w:widowControl/>
              <w:suppressLineNumbers w:val="0"/>
              <w:snapToGrid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868" w:type="dxa"/>
            <w:vAlign w:val="center"/>
          </w:tcPr>
          <w:p>
            <w:pPr>
              <w:keepNext/>
              <w:keepLines w:val="0"/>
              <w:widowControl/>
              <w:suppressLineNumbers w:val="0"/>
              <w:snapToGrid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w:t>
            </w:r>
          </w:p>
        </w:tc>
        <w:tc>
          <w:tcPr>
            <w:tcW w:w="701"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902"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701"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919"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1018"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u w:val="none"/>
                <w:lang w:val="en-US" w:eastAsia="zh-CN" w:bidi="ar"/>
              </w:rPr>
            </w:pPr>
          </w:p>
        </w:tc>
        <w:tc>
          <w:tcPr>
            <w:tcW w:w="868" w:type="dxa"/>
            <w:vAlign w:val="center"/>
          </w:tcPr>
          <w:p>
            <w:pPr>
              <w:keepNext/>
              <w:keepLines w:val="0"/>
              <w:widowControl/>
              <w:suppressLineNumbers w:val="0"/>
              <w:snapToGrid w:val="0"/>
              <w:jc w:val="center"/>
              <w:textAlignment w:val="center"/>
              <w:rPr>
                <w:rFonts w:hint="eastAsia" w:ascii="宋体" w:hAnsi="宋体" w:eastAsia="宋体" w:cs="宋体"/>
                <w:i w:val="0"/>
                <w:color w:val="000000"/>
                <w:kern w:val="0"/>
                <w:sz w:val="24"/>
                <w:szCs w:val="24"/>
                <w:highlight w:val="red"/>
                <w:u w:val="none"/>
                <w:lang w:val="en-US" w:eastAsia="zh-CN" w:bidi="ar"/>
              </w:rPr>
            </w:pPr>
          </w:p>
        </w:tc>
      </w:tr>
    </w:tbl>
    <w:p>
      <w:pPr>
        <w:spacing w:line="336" w:lineRule="auto"/>
        <w:rPr>
          <w:rFonts w:hint="default" w:ascii="仿宋_GB2312" w:hAnsi="微软雅黑" w:eastAsia="仿宋_GB2312" w:cs="微软雅黑"/>
          <w:color w:val="000000" w:themeColor="text1"/>
          <w:kern w:val="0"/>
          <w:sz w:val="32"/>
          <w:szCs w:val="32"/>
          <w:lang w:val="en-US" w:eastAsia="zh-CN"/>
          <w14:textFill>
            <w14:solidFill>
              <w14:schemeClr w14:val="tx1"/>
            </w14:solidFill>
          </w14:textFill>
        </w:rPr>
      </w:pPr>
    </w:p>
    <w:sectPr>
      <w:footerReference r:id="rId3" w:type="default"/>
      <w:foot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3496D"/>
    <w:multiLevelType w:val="singleLevel"/>
    <w:tmpl w:val="1D83496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01D4"/>
    <w:rsid w:val="000550E3"/>
    <w:rsid w:val="00061DD7"/>
    <w:rsid w:val="00073587"/>
    <w:rsid w:val="000849F7"/>
    <w:rsid w:val="00084E14"/>
    <w:rsid w:val="000C170A"/>
    <w:rsid w:val="000E2B02"/>
    <w:rsid w:val="0013221E"/>
    <w:rsid w:val="001348E1"/>
    <w:rsid w:val="00171287"/>
    <w:rsid w:val="00180EAA"/>
    <w:rsid w:val="001C5795"/>
    <w:rsid w:val="001D0FAB"/>
    <w:rsid w:val="00201FAD"/>
    <w:rsid w:val="00214170"/>
    <w:rsid w:val="00223D20"/>
    <w:rsid w:val="00226EAE"/>
    <w:rsid w:val="002327A9"/>
    <w:rsid w:val="002B2046"/>
    <w:rsid w:val="002E107B"/>
    <w:rsid w:val="00325204"/>
    <w:rsid w:val="00362239"/>
    <w:rsid w:val="00371A25"/>
    <w:rsid w:val="003D05AB"/>
    <w:rsid w:val="003D1E41"/>
    <w:rsid w:val="003F31BE"/>
    <w:rsid w:val="00400996"/>
    <w:rsid w:val="00406426"/>
    <w:rsid w:val="00406574"/>
    <w:rsid w:val="00407C9D"/>
    <w:rsid w:val="00407CA1"/>
    <w:rsid w:val="00436531"/>
    <w:rsid w:val="004614B0"/>
    <w:rsid w:val="004A5B5D"/>
    <w:rsid w:val="004C6A98"/>
    <w:rsid w:val="00514B39"/>
    <w:rsid w:val="00551F28"/>
    <w:rsid w:val="0056617B"/>
    <w:rsid w:val="005709EB"/>
    <w:rsid w:val="00594C13"/>
    <w:rsid w:val="005B08D1"/>
    <w:rsid w:val="005C3C14"/>
    <w:rsid w:val="006030BF"/>
    <w:rsid w:val="0062742F"/>
    <w:rsid w:val="006913D3"/>
    <w:rsid w:val="006C0293"/>
    <w:rsid w:val="006E092D"/>
    <w:rsid w:val="0070497D"/>
    <w:rsid w:val="007106B6"/>
    <w:rsid w:val="00724476"/>
    <w:rsid w:val="00731B46"/>
    <w:rsid w:val="00736CD6"/>
    <w:rsid w:val="00747086"/>
    <w:rsid w:val="00762A19"/>
    <w:rsid w:val="00794D8C"/>
    <w:rsid w:val="007A72FA"/>
    <w:rsid w:val="007B0156"/>
    <w:rsid w:val="007C11D9"/>
    <w:rsid w:val="00804D24"/>
    <w:rsid w:val="0085224A"/>
    <w:rsid w:val="008A28DF"/>
    <w:rsid w:val="008A7E4C"/>
    <w:rsid w:val="008C17EF"/>
    <w:rsid w:val="008D37C2"/>
    <w:rsid w:val="008F001A"/>
    <w:rsid w:val="0090411D"/>
    <w:rsid w:val="00971051"/>
    <w:rsid w:val="00981A68"/>
    <w:rsid w:val="00983571"/>
    <w:rsid w:val="009A49D2"/>
    <w:rsid w:val="009A6AC9"/>
    <w:rsid w:val="009B0260"/>
    <w:rsid w:val="009B317D"/>
    <w:rsid w:val="00A442D9"/>
    <w:rsid w:val="00A47B16"/>
    <w:rsid w:val="00A96368"/>
    <w:rsid w:val="00AB3BE8"/>
    <w:rsid w:val="00AF7503"/>
    <w:rsid w:val="00B72329"/>
    <w:rsid w:val="00B747B2"/>
    <w:rsid w:val="00B863E1"/>
    <w:rsid w:val="00BF7988"/>
    <w:rsid w:val="00C21429"/>
    <w:rsid w:val="00C6029A"/>
    <w:rsid w:val="00CA3B76"/>
    <w:rsid w:val="00CC1EA5"/>
    <w:rsid w:val="00CC4E45"/>
    <w:rsid w:val="00CD6B6B"/>
    <w:rsid w:val="00CE6F2E"/>
    <w:rsid w:val="00D07988"/>
    <w:rsid w:val="00D2321C"/>
    <w:rsid w:val="00D3022D"/>
    <w:rsid w:val="00D477D1"/>
    <w:rsid w:val="00D75620"/>
    <w:rsid w:val="00DE258D"/>
    <w:rsid w:val="00E0025A"/>
    <w:rsid w:val="00E17ADC"/>
    <w:rsid w:val="00E5322E"/>
    <w:rsid w:val="00E96F5B"/>
    <w:rsid w:val="00EC4A37"/>
    <w:rsid w:val="00EC621F"/>
    <w:rsid w:val="00ED5206"/>
    <w:rsid w:val="00F61A1A"/>
    <w:rsid w:val="00F9084B"/>
    <w:rsid w:val="01155E73"/>
    <w:rsid w:val="0179692B"/>
    <w:rsid w:val="02F12047"/>
    <w:rsid w:val="02FC0F80"/>
    <w:rsid w:val="034452FE"/>
    <w:rsid w:val="038D13F5"/>
    <w:rsid w:val="04155920"/>
    <w:rsid w:val="04C67F6F"/>
    <w:rsid w:val="06932BBA"/>
    <w:rsid w:val="08C67FD3"/>
    <w:rsid w:val="09AA40ED"/>
    <w:rsid w:val="0A35205B"/>
    <w:rsid w:val="0AB73A40"/>
    <w:rsid w:val="0B1F3D10"/>
    <w:rsid w:val="0B613EDC"/>
    <w:rsid w:val="0C1E413A"/>
    <w:rsid w:val="0F415EE5"/>
    <w:rsid w:val="0FAD30F6"/>
    <w:rsid w:val="107965E8"/>
    <w:rsid w:val="11342E45"/>
    <w:rsid w:val="11DA762E"/>
    <w:rsid w:val="1409166C"/>
    <w:rsid w:val="162F109F"/>
    <w:rsid w:val="16D158CF"/>
    <w:rsid w:val="1755272A"/>
    <w:rsid w:val="177D3694"/>
    <w:rsid w:val="1AD55E87"/>
    <w:rsid w:val="1B0B2EE2"/>
    <w:rsid w:val="1B107B9E"/>
    <w:rsid w:val="1BA11726"/>
    <w:rsid w:val="1C604342"/>
    <w:rsid w:val="1D4875C0"/>
    <w:rsid w:val="1D66148B"/>
    <w:rsid w:val="1FD76D09"/>
    <w:rsid w:val="20074127"/>
    <w:rsid w:val="21D92B1B"/>
    <w:rsid w:val="23242291"/>
    <w:rsid w:val="24226318"/>
    <w:rsid w:val="24545893"/>
    <w:rsid w:val="245F5A32"/>
    <w:rsid w:val="247356F9"/>
    <w:rsid w:val="24E10B09"/>
    <w:rsid w:val="258232B8"/>
    <w:rsid w:val="271A5F6D"/>
    <w:rsid w:val="28DB27E2"/>
    <w:rsid w:val="28E06186"/>
    <w:rsid w:val="2B25715A"/>
    <w:rsid w:val="2B2F0A92"/>
    <w:rsid w:val="2BF90E58"/>
    <w:rsid w:val="2C745D8F"/>
    <w:rsid w:val="2D2112E7"/>
    <w:rsid w:val="2DCA6020"/>
    <w:rsid w:val="2E6F05E7"/>
    <w:rsid w:val="2FA95A17"/>
    <w:rsid w:val="30543114"/>
    <w:rsid w:val="32393CDE"/>
    <w:rsid w:val="32C471AB"/>
    <w:rsid w:val="33A905CE"/>
    <w:rsid w:val="34137824"/>
    <w:rsid w:val="377378B6"/>
    <w:rsid w:val="37B0491D"/>
    <w:rsid w:val="39D04FA7"/>
    <w:rsid w:val="3B542B21"/>
    <w:rsid w:val="3C745A28"/>
    <w:rsid w:val="3C9318F6"/>
    <w:rsid w:val="3D9C3D7C"/>
    <w:rsid w:val="3E065948"/>
    <w:rsid w:val="3FD3733B"/>
    <w:rsid w:val="40394495"/>
    <w:rsid w:val="40781872"/>
    <w:rsid w:val="408349EA"/>
    <w:rsid w:val="42A55139"/>
    <w:rsid w:val="42C2256A"/>
    <w:rsid w:val="44144DEA"/>
    <w:rsid w:val="45CA3685"/>
    <w:rsid w:val="47BB4B72"/>
    <w:rsid w:val="481E3311"/>
    <w:rsid w:val="4B437213"/>
    <w:rsid w:val="4B9B37F0"/>
    <w:rsid w:val="4BBD34B9"/>
    <w:rsid w:val="4BC86581"/>
    <w:rsid w:val="4C4E0035"/>
    <w:rsid w:val="4E2B0C5A"/>
    <w:rsid w:val="4FDE438F"/>
    <w:rsid w:val="50A41B3A"/>
    <w:rsid w:val="50BE1AE9"/>
    <w:rsid w:val="50FE7B66"/>
    <w:rsid w:val="51017E73"/>
    <w:rsid w:val="515437E4"/>
    <w:rsid w:val="51983D3A"/>
    <w:rsid w:val="51CE1705"/>
    <w:rsid w:val="51D20F93"/>
    <w:rsid w:val="51D751EE"/>
    <w:rsid w:val="52513841"/>
    <w:rsid w:val="52815F13"/>
    <w:rsid w:val="530A3C8D"/>
    <w:rsid w:val="541A7917"/>
    <w:rsid w:val="54224AB4"/>
    <w:rsid w:val="54321305"/>
    <w:rsid w:val="54910E43"/>
    <w:rsid w:val="55A33EB3"/>
    <w:rsid w:val="56B422B6"/>
    <w:rsid w:val="588910F8"/>
    <w:rsid w:val="58DF3976"/>
    <w:rsid w:val="59E264AA"/>
    <w:rsid w:val="5C735B06"/>
    <w:rsid w:val="5D0B5592"/>
    <w:rsid w:val="5DF65816"/>
    <w:rsid w:val="5DFD1613"/>
    <w:rsid w:val="5E19144E"/>
    <w:rsid w:val="5E9F4342"/>
    <w:rsid w:val="5F6C1325"/>
    <w:rsid w:val="6081339D"/>
    <w:rsid w:val="626F601F"/>
    <w:rsid w:val="628D4519"/>
    <w:rsid w:val="63326DAF"/>
    <w:rsid w:val="6431350F"/>
    <w:rsid w:val="6441467C"/>
    <w:rsid w:val="657E557D"/>
    <w:rsid w:val="65DF65B1"/>
    <w:rsid w:val="66191A7F"/>
    <w:rsid w:val="6A456AD9"/>
    <w:rsid w:val="6A5C2774"/>
    <w:rsid w:val="6A8C0D6B"/>
    <w:rsid w:val="6B927153"/>
    <w:rsid w:val="6D211D02"/>
    <w:rsid w:val="6DCF1C64"/>
    <w:rsid w:val="6DF22189"/>
    <w:rsid w:val="6DFF62F4"/>
    <w:rsid w:val="6E066A75"/>
    <w:rsid w:val="6E5A7CE9"/>
    <w:rsid w:val="708F684F"/>
    <w:rsid w:val="738A6EA4"/>
    <w:rsid w:val="73C60433"/>
    <w:rsid w:val="747A3606"/>
    <w:rsid w:val="76C944B5"/>
    <w:rsid w:val="76D13DB0"/>
    <w:rsid w:val="76F030DA"/>
    <w:rsid w:val="77366885"/>
    <w:rsid w:val="780104A0"/>
    <w:rsid w:val="79B976ED"/>
    <w:rsid w:val="79F5428E"/>
    <w:rsid w:val="7AAC4CB5"/>
    <w:rsid w:val="7AD247FB"/>
    <w:rsid w:val="7BF41DC0"/>
    <w:rsid w:val="7F531DC3"/>
    <w:rsid w:val="7FC46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Indent"/>
    <w:basedOn w:val="1"/>
    <w:qFormat/>
    <w:uiPriority w:val="0"/>
    <w:pPr>
      <w:ind w:firstLine="720" w:firstLineChars="300"/>
    </w:pPr>
    <w:rPr>
      <w:rFonts w:eastAsia="楷体_GB2312"/>
      <w:sz w:val="24"/>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8">
    <w:name w:val="Body Text First Indent 2"/>
    <w:basedOn w:val="4"/>
    <w:qFormat/>
    <w:uiPriority w:val="0"/>
    <w:pPr>
      <w:ind w:firstLine="420" w:firstLineChars="200"/>
    </w:pPr>
    <w:rPr>
      <w:rFonts w:ascii="宋体" w:hAnsi="Courier New" w:cs="Courier New"/>
      <w:b/>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paragraph" w:styleId="13">
    <w:name w:val="List Paragraph"/>
    <w:basedOn w:val="1"/>
    <w:qFormat/>
    <w:uiPriority w:val="34"/>
    <w:pPr>
      <w:ind w:firstLine="420" w:firstLineChars="200"/>
    </w:pPr>
    <w:rPr>
      <w:rFonts w:ascii="等线" w:hAnsi="等线" w:eastAsia="等线" w:cs="Times New Roman"/>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font01"/>
    <w:basedOn w:val="1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1031</Words>
  <Characters>1134</Characters>
  <Lines>11</Lines>
  <Paragraphs>3</Paragraphs>
  <TotalTime>139</TotalTime>
  <ScaleCrop>false</ScaleCrop>
  <LinksUpToDate>false</LinksUpToDate>
  <CharactersWithSpaces>1140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Vicky</cp:lastModifiedBy>
  <cp:lastPrinted>2026-08-04T05:29:00Z</cp:lastPrinted>
  <dcterms:modified xsi:type="dcterms:W3CDTF">2026-08-07T01:07:42Z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481FFFD5725540409A74C06C958380AA_13</vt:lpwstr>
  </property>
  <property fmtid="{D5CDD505-2E9C-101B-9397-08002B2CF9AE}" pid="4" name="KSOTemplateDocerSaveRecord">
    <vt:lpwstr>eyJoZGlkIjoiYWI4NzhkMWQwZTg3Y2YzYjk4ODcxZGVjOTJkODJkMmMiLCJ1c2VySWQiOiIxOTQxODg5NjAifQ==</vt:lpwstr>
  </property>
</Properties>
</file>