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eastAsia="方正小标宋简体" w:hAnsiTheme="minorEastAsia"/>
          <w:b/>
          <w:bCs/>
          <w:sz w:val="44"/>
          <w:szCs w:val="44"/>
        </w:rPr>
      </w:pPr>
    </w:p>
    <w:p>
      <w:pPr>
        <w:spacing w:line="360" w:lineRule="auto"/>
        <w:jc w:val="center"/>
        <w:rPr>
          <w:rFonts w:hint="eastAsia" w:ascii="方正小标宋简体" w:eastAsia="方正小标宋简体" w:hAnsiTheme="minorEastAsia"/>
          <w:b/>
          <w:bCs/>
          <w:sz w:val="44"/>
          <w:szCs w:val="44"/>
        </w:rPr>
      </w:pPr>
      <w:r>
        <w:rPr>
          <w:rFonts w:hint="eastAsia" w:ascii="方正小标宋简体" w:eastAsia="方正小标宋简体" w:hAnsiTheme="minorEastAsia"/>
          <w:b/>
          <w:bCs/>
          <w:sz w:val="44"/>
          <w:szCs w:val="44"/>
          <w:lang w:eastAsia="zh-CN"/>
        </w:rPr>
        <w:t>西南航食</w:t>
      </w:r>
      <w:r>
        <w:rPr>
          <w:rFonts w:hint="eastAsia" w:ascii="方正小标宋简体" w:eastAsia="方正小标宋简体" w:hAnsiTheme="minorEastAsia"/>
          <w:b/>
          <w:bCs/>
          <w:sz w:val="44"/>
          <w:szCs w:val="44"/>
        </w:rPr>
        <w:t>污泥清运回收处置方案</w:t>
      </w:r>
    </w:p>
    <w:p>
      <w:pPr>
        <w:spacing w:beforeLines="50" w:afterLines="50" w:line="360" w:lineRule="auto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一、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 xml:space="preserve">污泥组成及日产量： </w:t>
      </w:r>
    </w:p>
    <w:p>
      <w:pPr>
        <w:pStyle w:val="11"/>
        <w:numPr>
          <w:ilvl w:val="0"/>
          <w:numId w:val="1"/>
        </w:numPr>
        <w:spacing w:beforeLines="50" w:afterLines="50" w:line="360" w:lineRule="auto"/>
        <w:ind w:left="567" w:hanging="567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污水站产生的污泥主要有两部分：一是通过系统抽到污泥池的污泥，另一部分为污水站各槽体人工打捞的浮渣构成，经脱水机压榨后出泥。</w:t>
      </w:r>
    </w:p>
    <w:p>
      <w:pPr>
        <w:pStyle w:val="11"/>
        <w:numPr>
          <w:ilvl w:val="0"/>
          <w:numId w:val="1"/>
        </w:numPr>
        <w:tabs>
          <w:tab w:val="left" w:pos="567"/>
        </w:tabs>
        <w:spacing w:line="360" w:lineRule="auto"/>
        <w:ind w:left="567" w:hanging="567" w:firstLineChars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公司202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年污泥实际清运处置量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约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320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吨，预计202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年污泥产生量将达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32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0吨左右。 </w:t>
      </w:r>
    </w:p>
    <w:p>
      <w:pPr>
        <w:spacing w:beforeLines="50" w:afterLines="50" w:line="360" w:lineRule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二、对服务商要求：</w:t>
      </w:r>
    </w:p>
    <w:p>
      <w:pPr>
        <w:pStyle w:val="11"/>
        <w:numPr>
          <w:ilvl w:val="0"/>
          <w:numId w:val="2"/>
        </w:numPr>
        <w:tabs>
          <w:tab w:val="left" w:pos="567"/>
        </w:tabs>
        <w:spacing w:beforeLines="50" w:afterLines="50" w:line="360" w:lineRule="auto"/>
        <w:ind w:left="567" w:hanging="567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服务商需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eastAsia="zh-CN"/>
        </w:rPr>
        <w:t>自觉遵守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</w:rPr>
        <w:t>《中华人民共和国固体废物污染环境防治法》等法律法规</w:t>
      </w:r>
      <w:r>
        <w:rPr>
          <w:rFonts w:hint="eastAsia" w:asciiTheme="minorEastAsia" w:hAnsiTheme="minorEastAsia" w:cstheme="minorEastAsia"/>
          <w:b w:val="0"/>
          <w:bCs w:val="0"/>
          <w:sz w:val="30"/>
          <w:szCs w:val="30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具备污泥清运、合规回收处置能力、专业的处置资质且信誉良好；服务商的营业范围包含一般废弃物处理或有机肥料生产等。供应商须提供《污泥清运回收处置资质》、《污泥清运回收处置方案》、《环评备案报告》、《排污许可证》等相关资质材料。</w:t>
      </w:r>
    </w:p>
    <w:p>
      <w:pPr>
        <w:pStyle w:val="11"/>
        <w:numPr>
          <w:ilvl w:val="0"/>
          <w:numId w:val="2"/>
        </w:numPr>
        <w:tabs>
          <w:tab w:val="left" w:pos="567"/>
        </w:tabs>
        <w:spacing w:beforeLines="50" w:afterLines="50" w:line="360" w:lineRule="auto"/>
        <w:ind w:left="567" w:hanging="567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污泥鉴定：服务商需委托有资质的检测机构，按照《农用污泥污染物控制标准GB4284》检测污泥重金属含量，满足A级要求，并且每半年必须提交纸质《污泥检测报告》一份。</w:t>
      </w:r>
    </w:p>
    <w:p>
      <w:pPr>
        <w:pStyle w:val="11"/>
        <w:numPr>
          <w:ilvl w:val="0"/>
          <w:numId w:val="2"/>
        </w:numPr>
        <w:tabs>
          <w:tab w:val="left" w:pos="567"/>
        </w:tabs>
        <w:spacing w:beforeLines="50" w:afterLines="50" w:line="360" w:lineRule="auto"/>
        <w:ind w:left="567" w:hanging="567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装污泥的吨桶由服务商提供，且数量必须足夠。</w:t>
      </w:r>
    </w:p>
    <w:p>
      <w:pPr>
        <w:pStyle w:val="11"/>
        <w:numPr>
          <w:ilvl w:val="0"/>
          <w:numId w:val="2"/>
        </w:numPr>
        <w:tabs>
          <w:tab w:val="left" w:pos="567"/>
        </w:tabs>
        <w:spacing w:beforeLines="50" w:afterLines="50" w:line="360" w:lineRule="auto"/>
        <w:ind w:left="567" w:hanging="567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污泥的转运和称重：由污水运维人员负责通知回收处置服务商进厂转运；最低转运频次为每周一次，含紧急转运时需在48小时内完成污泥转运工作；单次转运量预计在1-6吨左右。</w:t>
      </w:r>
    </w:p>
    <w:p>
      <w:pPr>
        <w:pStyle w:val="11"/>
        <w:numPr>
          <w:ilvl w:val="0"/>
          <w:numId w:val="2"/>
        </w:numPr>
        <w:tabs>
          <w:tab w:val="left" w:pos="567"/>
        </w:tabs>
        <w:spacing w:line="360" w:lineRule="auto"/>
        <w:ind w:left="567" w:hanging="567" w:firstLineChars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污泥清运费用按 （元/吨）报价，费用包含（检测费、人工费、运输费、装卸费、清洁费、容器费、低值易耗品费、叉车费、过磅费）等。</w:t>
      </w:r>
    </w:p>
    <w:p>
      <w:pPr>
        <w:spacing w:beforeLines="50" w:afterLines="50" w:line="360" w:lineRule="auto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四、污泥存储场地防臭措施</w:t>
      </w:r>
    </w:p>
    <w:p>
      <w:pPr>
        <w:spacing w:beforeLines="50" w:afterLines="50" w:line="360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采用吨桶装污泥，如下示意图，污泥装满后将上口密封，能有效防止臭气溢出，并提供覆盖吨桶的防水棚布。</w:t>
      </w:r>
    </w:p>
    <w:p>
      <w:pPr>
        <w:spacing w:beforeLines="50" w:afterLines="50" w:line="360" w:lineRule="auto"/>
        <w:ind w:left="960" w:hanging="840" w:hangingChars="300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drawing>
          <wp:inline distT="0" distB="0" distL="0" distR="0">
            <wp:extent cx="4457700" cy="1913890"/>
            <wp:effectExtent l="0" t="0" r="0" b="10160"/>
            <wp:docPr id="3" name="图片 3" descr="绿色的卡车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绿色的卡车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50" w:afterLines="50" w:line="360" w:lineRule="auto"/>
        <w:ind w:left="964" w:hanging="843" w:hangingChars="30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五、双方责任范围</w:t>
      </w:r>
    </w:p>
    <w:tbl>
      <w:tblPr>
        <w:tblStyle w:val="6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7"/>
        <w:gridCol w:w="780"/>
        <w:gridCol w:w="816"/>
        <w:gridCol w:w="3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46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污泥转运所需条件及实施内容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甲方</w:t>
            </w:r>
          </w:p>
        </w:tc>
        <w:tc>
          <w:tcPr>
            <w:tcW w:w="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乙方</w:t>
            </w:r>
          </w:p>
        </w:tc>
        <w:tc>
          <w:tcPr>
            <w:tcW w:w="30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37" w:type="dxa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污泥鉴定并提交报告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30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每半年提交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37" w:type="dxa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污泥现场的污泥装桶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30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37" w:type="dxa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装满后厂内转移指定存放点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0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约需26平米场地暂存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4637" w:type="dxa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装污泥的吨桶（装载桶和周转备用桶）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30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乙方提供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37" w:type="dxa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覆盖吨桶的防水棚布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30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37" w:type="dxa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称重设备（地磅或磅秤）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30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提供第三方过磅秤记录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37" w:type="dxa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装车所需叉车及叉车司机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30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37" w:type="dxa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过磅记录确认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30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双方签字确认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37" w:type="dxa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两吨叉车1台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30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37" w:type="dxa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叉车操作证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30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叉车操作人员提供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37" w:type="dxa"/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污泥出厂后的安全环境、责任等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305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numPr>
          <w:numId w:val="0"/>
        </w:numPr>
        <w:spacing w:beforeLines="50" w:afterLines="50" w:line="360" w:lineRule="auto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</w:p>
    <w:p>
      <w:pPr>
        <w:numPr>
          <w:ilvl w:val="0"/>
          <w:numId w:val="3"/>
        </w:numPr>
        <w:spacing w:beforeLines="50" w:afterLines="50" w:line="360" w:lineRule="auto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合同期及结算方式</w:t>
      </w:r>
    </w:p>
    <w:p>
      <w:pPr>
        <w:numPr>
          <w:numId w:val="0"/>
        </w:numPr>
        <w:spacing w:beforeLines="50" w:afterLines="50" w:line="360" w:lineRule="auto"/>
        <w:ind w:firstLine="600" w:firstLineChars="200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eastAsia="zh-CN"/>
        </w:rPr>
        <w:t>本项目拟签订三年期框架合同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</w:rPr>
        <w:t>确定清运单价，公司按实际转运量半年结算一次</w:t>
      </w:r>
      <w:r>
        <w:rPr>
          <w:rFonts w:hint="eastAsia" w:asciiTheme="minorEastAsia" w:hAnsiTheme="minorEastAsia" w:cstheme="minorEastAsia"/>
          <w:b w:val="0"/>
          <w:bCs w:val="0"/>
          <w:sz w:val="30"/>
          <w:szCs w:val="30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935" w:right="1286" w:bottom="983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D0235"/>
    <w:multiLevelType w:val="multilevel"/>
    <w:tmpl w:val="2C2D0235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0E1A05"/>
    <w:multiLevelType w:val="multilevel"/>
    <w:tmpl w:val="2E0E1A05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BCBC6B"/>
    <w:multiLevelType w:val="singleLevel"/>
    <w:tmpl w:val="36BCBC6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86"/>
    <w:rsid w:val="000452FA"/>
    <w:rsid w:val="0006013C"/>
    <w:rsid w:val="00062FC3"/>
    <w:rsid w:val="00077953"/>
    <w:rsid w:val="000B4E84"/>
    <w:rsid w:val="0018771E"/>
    <w:rsid w:val="002007D0"/>
    <w:rsid w:val="00206CA3"/>
    <w:rsid w:val="002355B8"/>
    <w:rsid w:val="00256E6B"/>
    <w:rsid w:val="002869DE"/>
    <w:rsid w:val="002A6986"/>
    <w:rsid w:val="002C41B3"/>
    <w:rsid w:val="00313E77"/>
    <w:rsid w:val="00317873"/>
    <w:rsid w:val="00322168"/>
    <w:rsid w:val="0035028D"/>
    <w:rsid w:val="003701D6"/>
    <w:rsid w:val="003B5335"/>
    <w:rsid w:val="003F5DC7"/>
    <w:rsid w:val="004337A6"/>
    <w:rsid w:val="00440F62"/>
    <w:rsid w:val="004B6F41"/>
    <w:rsid w:val="004C3D3C"/>
    <w:rsid w:val="004D1ED8"/>
    <w:rsid w:val="004D55FC"/>
    <w:rsid w:val="005270C6"/>
    <w:rsid w:val="00532465"/>
    <w:rsid w:val="0056510F"/>
    <w:rsid w:val="00594942"/>
    <w:rsid w:val="005B6259"/>
    <w:rsid w:val="005C04BB"/>
    <w:rsid w:val="005E4BE8"/>
    <w:rsid w:val="006354C6"/>
    <w:rsid w:val="00636BDB"/>
    <w:rsid w:val="00662570"/>
    <w:rsid w:val="00694C8E"/>
    <w:rsid w:val="006C4328"/>
    <w:rsid w:val="007373E5"/>
    <w:rsid w:val="00784EE5"/>
    <w:rsid w:val="007C0083"/>
    <w:rsid w:val="007D280C"/>
    <w:rsid w:val="00852A1E"/>
    <w:rsid w:val="0089661A"/>
    <w:rsid w:val="008A3B79"/>
    <w:rsid w:val="008B50D9"/>
    <w:rsid w:val="009B771B"/>
    <w:rsid w:val="009D74DE"/>
    <w:rsid w:val="00A4436D"/>
    <w:rsid w:val="00A66EB1"/>
    <w:rsid w:val="00AF0BD3"/>
    <w:rsid w:val="00B07ED8"/>
    <w:rsid w:val="00B10DD6"/>
    <w:rsid w:val="00B52463"/>
    <w:rsid w:val="00B64A5D"/>
    <w:rsid w:val="00B801FB"/>
    <w:rsid w:val="00BA1A3F"/>
    <w:rsid w:val="00C02679"/>
    <w:rsid w:val="00C222A6"/>
    <w:rsid w:val="00C24813"/>
    <w:rsid w:val="00C66225"/>
    <w:rsid w:val="00CD1523"/>
    <w:rsid w:val="00D863B7"/>
    <w:rsid w:val="00DC0C04"/>
    <w:rsid w:val="00DE2A5F"/>
    <w:rsid w:val="00E53314"/>
    <w:rsid w:val="00E66830"/>
    <w:rsid w:val="00F142DD"/>
    <w:rsid w:val="00F53258"/>
    <w:rsid w:val="00FC2EE1"/>
    <w:rsid w:val="01F06705"/>
    <w:rsid w:val="2B2C122E"/>
    <w:rsid w:val="2B9D7801"/>
    <w:rsid w:val="2CEA7C55"/>
    <w:rsid w:val="2EFC2398"/>
    <w:rsid w:val="32F645C8"/>
    <w:rsid w:val="39CE2600"/>
    <w:rsid w:val="3F2B672A"/>
    <w:rsid w:val="4C363E1B"/>
    <w:rsid w:val="51A71508"/>
    <w:rsid w:val="586B7BA8"/>
    <w:rsid w:val="5BD33948"/>
    <w:rsid w:val="5D874823"/>
    <w:rsid w:val="60F44676"/>
    <w:rsid w:val="7D5F4707"/>
    <w:rsid w:val="7EFFF358"/>
    <w:rsid w:val="FF7DD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134</Words>
  <Characters>768</Characters>
  <Lines>6</Lines>
  <Paragraphs>1</Paragraphs>
  <TotalTime>2</TotalTime>
  <ScaleCrop>false</ScaleCrop>
  <LinksUpToDate>false</LinksUpToDate>
  <CharactersWithSpaces>901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2021-05-12T16:47:00Z</dcterms:created>
  <dc:creator>林 先智</dc:creator>
  <cp:lastModifiedBy>Administrator</cp:lastModifiedBy>
  <cp:lastPrinted>2023-05-16T22:37:00Z</cp:lastPrinted>
  <dcterms:modified xsi:type="dcterms:W3CDTF">2026-08-04T02:53:10Z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DF55ABBE679DBBCE79A6546A1227432B_43</vt:lpwstr>
  </property>
</Properties>
</file>