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机上小食品采购项目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1.项目名称：上海中航航空食品有限公司机上小食品采购项目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三、采购需求</w:t>
      </w:r>
    </w:p>
    <w:p>
      <w:pPr>
        <w:pStyle w:val="2"/>
        <w:numPr>
          <w:ilvl w:val="0"/>
          <w:numId w:val="0"/>
        </w:num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（一）产品要求：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6"/>
        <w:gridCol w:w="1633"/>
        <w:gridCol w:w="1500"/>
        <w:gridCol w:w="734"/>
        <w:gridCol w:w="916"/>
        <w:gridCol w:w="3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序号</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物料名称</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规格</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单位</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年预计用量</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猫耳朵 五香味</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猫耳朵 甜辣味</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脱壳老醋蚕豆</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香酥蚕豆瓣</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馍片 全麦奇亚籽</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馍片 陈皮山药</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五黑雪饼</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五红雪饼</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气泡脆饼</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九蔬脆片饼干</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552000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黑森林方块蛋糕</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50G±5G/个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冷冻蛋糕</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长宽：5-6CM，高：2-3CM，</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储存方式：-18℃以下储存，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kern w:val="0"/>
                <w:sz w:val="22"/>
                <w:szCs w:val="22"/>
                <w:u w:val="none"/>
                <w:lang w:val="en-US" w:eastAsia="zh-CN" w:bidi="ar"/>
              </w:rPr>
              <w:t>无冰渣、无霉变等。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提拉米苏奶酪方块蛋糕</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50G±5G/个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冷冻蛋糕</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长宽：5-6CM，高：2-3CM，</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储存方式：-18℃以下储存，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无冰渣、无霉变等。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抹茶奶酪方块蛋糕</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50G±5G/个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冷冻蛋糕</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长宽：5-6CM，高：2-3CM，</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储存方式：-18℃以下储存，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无冰渣、无霉变等。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芋泥奶酪方块蛋糕</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50G±5G/个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冷冻蛋糕</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长宽：5-6CM，高：2-3CM，</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储存方式：-18℃以下储存，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无冰渣、无霉变等。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老奶油方块蛋糕</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50G±5G/个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冷冻蛋糕</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长宽：5-6CM，高：2-3CM，</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储存方式：-18℃以下储存，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无冰渣、无霉变等。。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咸奶酪方块蛋糕</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50G±5G/个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531000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冷冻蛋糕</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长宽：5-6CM，高：2-3CM，</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储存方式：-18℃以下储存，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无冰渣、无霉变等。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苹果味果汁饮料</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125ML±5ML/个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利乐包装，外包装需要有产品信息、生产日期以及保质期等信息。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葡萄味果汁饮料</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125ML±5ML/个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利乐包装，外包装需要有产品信息、生产日期以及保质期等信息。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桃味果汁饮料</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125ML±5ML/个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利乐包装，外包装需要有产品信息、生产日期以及保质期等信息。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海带丝</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萝卜干</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燕麦奶</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125ML±5ML/个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利乐包装，外包装需要有产品信息、生产日期以及保质期等信息。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AD钙奶</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125ML±5ML/个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利乐包装，外包装需要有产品信息、生产日期以及保质期等信息。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豆奶</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125ML±5ML/个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利乐包装，外包装需要有产品信息、生产日期以及保质期等信息。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香葱薄饼</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现用品牌：嘉顿</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海苔米果</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原味小麻花</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highlight w:val="none"/>
                <w:u w:val="none"/>
                <w:lang w:val="en-US" w:eastAsia="zh-CN" w:bidi="ar"/>
              </w:rPr>
              <w:t>5G±2G/个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现用品牌：众望</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不加热奶油夹心面包</w:t>
            </w:r>
          </w:p>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（4种口味，必须有巧克力奶油口味面包，其余口味不限）</w:t>
            </w:r>
          </w:p>
        </w:tc>
        <w:tc>
          <w:tcPr>
            <w:tcW w:w="8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60G±10G/个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个</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414000</w:t>
            </w:r>
          </w:p>
        </w:tc>
        <w:tc>
          <w:tcPr>
            <w:tcW w:w="19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不加热夹心面包，整体为长条船型，面包开设均匀开口，内部填充奶油，奶油不少于15%。</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外包装需要有产品信息、生产日期以及保质期等信息。</w:t>
            </w:r>
          </w:p>
          <w:p>
            <w:pPr>
              <w:keepNext w:val="0"/>
              <w:keepLines w:val="0"/>
              <w:widowControl/>
              <w:suppressLineNumbers w:val="0"/>
              <w:jc w:val="left"/>
              <w:textAlignment w:val="bottom"/>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储存方式：0-4℃储存</w:t>
            </w:r>
          </w:p>
          <w:p>
            <w:pPr>
              <w:keepNext w:val="0"/>
              <w:keepLines w:val="0"/>
              <w:widowControl/>
              <w:suppressLineNumbers w:val="0"/>
              <w:jc w:val="left"/>
              <w:textAlignment w:val="bottom"/>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保质期≥5天。</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产品符合GB7718-2011《预包装食品标签通则》、GB7099-2015 《食品安全国家标准 糕点、面包》及《中华人民共和国食品安全法》、《中华人民共和国产品质量法》等相关国家法律规定。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shd w:val="clear"/>
        <w:kinsoku/>
        <w:wordWrap/>
        <w:overflowPunct/>
        <w:topLinePunct w:val="0"/>
        <w:autoSpaceDE/>
        <w:autoSpaceDN/>
        <w:bidi w:val="0"/>
        <w:adjustRightInd/>
        <w:snapToGrid/>
        <w:spacing w:line="336" w:lineRule="auto"/>
        <w:ind w:left="3196" w:leftChars="760" w:right="0" w:rightChars="0" w:hanging="1600" w:hangingChars="500"/>
        <w:jc w:val="left"/>
        <w:textAlignment w:val="auto"/>
        <w:outlineLvl w:val="9"/>
        <w:rPr>
          <w:rFonts w:hint="eastAsia"/>
          <w:lang w:val="en-US" w:eastAsia="zh-CN"/>
        </w:rPr>
      </w:pPr>
      <w:r>
        <w:rPr>
          <w:rFonts w:hint="eastAsia" w:ascii="仿宋_GB2312" w:hAnsi="仿宋_GB2312" w:eastAsia="仿宋_GB2312" w:cs="仿宋_GB2312"/>
          <w:color w:val="auto"/>
          <w:kern w:val="0"/>
          <w:sz w:val="32"/>
          <w:szCs w:val="32"/>
          <w:highlight w:val="none"/>
          <w:lang w:val="en-US" w:eastAsia="zh-CN"/>
        </w:rPr>
        <w:t>首批订单：甲方每个使用单位发出的第一份订单为首批订单。首批订单交货周期为首批订单下单后的</w:t>
      </w:r>
      <w:r>
        <w:rPr>
          <w:rFonts w:hint="eastAsia" w:ascii="仿宋_GB2312" w:hAnsi="仿宋_GB2312" w:eastAsia="仿宋_GB2312" w:cs="仿宋_GB2312"/>
          <w:color w:val="auto"/>
          <w:kern w:val="0"/>
          <w:sz w:val="32"/>
          <w:szCs w:val="32"/>
          <w:highlight w:val="none"/>
          <w:shd w:val="clear"/>
          <w:lang w:val="en-US" w:eastAsia="zh-CN"/>
        </w:rPr>
        <w:t>15天内（含15天）</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w:t>
      </w:r>
      <w:r>
        <w:rPr>
          <w:rFonts w:hint="eastAsia" w:ascii="仿宋_GB2312" w:hAnsi="仿宋_GB2312" w:eastAsia="仿宋_GB2312" w:cs="仿宋_GB2312"/>
          <w:color w:val="auto"/>
          <w:kern w:val="0"/>
          <w:sz w:val="32"/>
          <w:szCs w:val="32"/>
          <w:highlight w:val="none"/>
          <w:lang w:val="en-US" w:eastAsia="zh-CN"/>
        </w:rPr>
        <w:t>保质期不得少于总保质期的三分之二）。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6.供应商安排送货车辆，如若无或者木制垫仓板，仓库有权拒收。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8.产品生产过程中需使用金属探测仪、X光机等有效金属检测工具对产品进行检测，提供生产线检测过程照片或金属检测工具的发票或资产入账卡片等证明材料。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（一）营业执照</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（二）若响应方为直接生产厂家，需按要求提供以下资质文件：</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1.食品生产许可证及明细页；</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2.食品经营许可证及明细页或仅销售预包装食品经营者备案信息表或符合当地市场监督管理局要求的专业技术及行业资质证明资料。</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若响应方为产品经销商，需按要求提供以下资质文件：</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1.响应方的食品经营许可证及明细页或仅销售预包装食品经营者备案信息表或符合当地市场监督管理局要求的专业技术及行业资质证明资料；</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2.若所提供的样品为非进口产品，需额外提供该产品生产厂家的营业执照、食品生产许可证及明细页；</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3.若所提供的样品为进口产品，需额外提供中华人民共和国入境货物检验检疫证明及中华人民共和国海关进口货物报关单，报关单据涉及的产品需与参与本项目提供的产品信息一致。</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4F6048"/>
    <w:rsid w:val="0C7507AD"/>
    <w:rsid w:val="0EA84D54"/>
    <w:rsid w:val="0FC47476"/>
    <w:rsid w:val="111A69F7"/>
    <w:rsid w:val="115E0096"/>
    <w:rsid w:val="15200109"/>
    <w:rsid w:val="15F235ED"/>
    <w:rsid w:val="1771620B"/>
    <w:rsid w:val="18C54A7F"/>
    <w:rsid w:val="1A22377B"/>
    <w:rsid w:val="1AB5780F"/>
    <w:rsid w:val="1BE52336"/>
    <w:rsid w:val="1C642FDF"/>
    <w:rsid w:val="1CA16C6E"/>
    <w:rsid w:val="1CA65BF3"/>
    <w:rsid w:val="1EE02F06"/>
    <w:rsid w:val="1EF738C4"/>
    <w:rsid w:val="1F33382F"/>
    <w:rsid w:val="1F953751"/>
    <w:rsid w:val="1F9863EC"/>
    <w:rsid w:val="1FD426E8"/>
    <w:rsid w:val="1FD5739E"/>
    <w:rsid w:val="1FE41485"/>
    <w:rsid w:val="1FFD4A15"/>
    <w:rsid w:val="200C3AC3"/>
    <w:rsid w:val="201B622A"/>
    <w:rsid w:val="202E6849"/>
    <w:rsid w:val="213C0BFB"/>
    <w:rsid w:val="23040AFF"/>
    <w:rsid w:val="2496184F"/>
    <w:rsid w:val="24B136B0"/>
    <w:rsid w:val="25C40F57"/>
    <w:rsid w:val="27013439"/>
    <w:rsid w:val="2D0C28EF"/>
    <w:rsid w:val="2D491274"/>
    <w:rsid w:val="2DCC3795"/>
    <w:rsid w:val="2E8D4DBB"/>
    <w:rsid w:val="2F7B3493"/>
    <w:rsid w:val="325558B1"/>
    <w:rsid w:val="337217CA"/>
    <w:rsid w:val="33BD29EB"/>
    <w:rsid w:val="36B003A7"/>
    <w:rsid w:val="36B829B6"/>
    <w:rsid w:val="38187DB8"/>
    <w:rsid w:val="38533E46"/>
    <w:rsid w:val="3942657F"/>
    <w:rsid w:val="39FD755F"/>
    <w:rsid w:val="3A9C02FB"/>
    <w:rsid w:val="3C826AF4"/>
    <w:rsid w:val="3E117259"/>
    <w:rsid w:val="3E1306DF"/>
    <w:rsid w:val="3EAC0646"/>
    <w:rsid w:val="3EE65CF2"/>
    <w:rsid w:val="407F7CE8"/>
    <w:rsid w:val="4149225A"/>
    <w:rsid w:val="416A1EEC"/>
    <w:rsid w:val="42D061DF"/>
    <w:rsid w:val="430D0AC4"/>
    <w:rsid w:val="430D5565"/>
    <w:rsid w:val="43681F8F"/>
    <w:rsid w:val="448470CE"/>
    <w:rsid w:val="457505AF"/>
    <w:rsid w:val="4579779B"/>
    <w:rsid w:val="469B45C6"/>
    <w:rsid w:val="470C7C2B"/>
    <w:rsid w:val="478C2A20"/>
    <w:rsid w:val="47BB05AE"/>
    <w:rsid w:val="4812509E"/>
    <w:rsid w:val="48783B2B"/>
    <w:rsid w:val="48FB6A76"/>
    <w:rsid w:val="492364E9"/>
    <w:rsid w:val="49E00951"/>
    <w:rsid w:val="4A6608F4"/>
    <w:rsid w:val="4B8B5463"/>
    <w:rsid w:val="4EA46D84"/>
    <w:rsid w:val="4EC75654"/>
    <w:rsid w:val="4EEB44B2"/>
    <w:rsid w:val="4F7677C2"/>
    <w:rsid w:val="53D20D42"/>
    <w:rsid w:val="559C360E"/>
    <w:rsid w:val="55DA622A"/>
    <w:rsid w:val="56131777"/>
    <w:rsid w:val="56857A4F"/>
    <w:rsid w:val="56F56017"/>
    <w:rsid w:val="571C44BC"/>
    <w:rsid w:val="572E75A3"/>
    <w:rsid w:val="58064885"/>
    <w:rsid w:val="58600E0E"/>
    <w:rsid w:val="58FE50EC"/>
    <w:rsid w:val="59B10404"/>
    <w:rsid w:val="5A3A3141"/>
    <w:rsid w:val="5DFD1613"/>
    <w:rsid w:val="5ED335AE"/>
    <w:rsid w:val="5F4E57BB"/>
    <w:rsid w:val="5FEB5546"/>
    <w:rsid w:val="61056D80"/>
    <w:rsid w:val="63326DAF"/>
    <w:rsid w:val="63FC62F7"/>
    <w:rsid w:val="64F8544A"/>
    <w:rsid w:val="654F0361"/>
    <w:rsid w:val="655D07E9"/>
    <w:rsid w:val="65B41032"/>
    <w:rsid w:val="66105589"/>
    <w:rsid w:val="673F191F"/>
    <w:rsid w:val="67740CD2"/>
    <w:rsid w:val="68A23229"/>
    <w:rsid w:val="69FB1B10"/>
    <w:rsid w:val="6B7C2573"/>
    <w:rsid w:val="6D872ADE"/>
    <w:rsid w:val="6EF225A4"/>
    <w:rsid w:val="6FEF1CBA"/>
    <w:rsid w:val="70931388"/>
    <w:rsid w:val="710742DB"/>
    <w:rsid w:val="71EE3819"/>
    <w:rsid w:val="724B4A8D"/>
    <w:rsid w:val="74231EA2"/>
    <w:rsid w:val="74EE5AF5"/>
    <w:rsid w:val="75584BCE"/>
    <w:rsid w:val="75714608"/>
    <w:rsid w:val="75745AFF"/>
    <w:rsid w:val="758E0112"/>
    <w:rsid w:val="773105A5"/>
    <w:rsid w:val="77452842"/>
    <w:rsid w:val="79B32762"/>
    <w:rsid w:val="7C6B365F"/>
    <w:rsid w:val="7CF07BD6"/>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50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2026-06-03T03:45:00Z</cp:lastPrinted>
  <dcterms:modified xsi:type="dcterms:W3CDTF">2026-07-20T06:36:43Z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