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bidi w:val="0"/>
        <w:adjustRightInd/>
        <w:snapToGrid/>
        <w:spacing w:line="336"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员工综合福利保险</w:t>
      </w:r>
      <w:r>
        <w:rPr>
          <w:rFonts w:hint="eastAsia" w:ascii="方正小标宋简体" w:hAnsi="方正小标宋简体" w:eastAsia="方正小标宋简体" w:cs="方正小标宋简体"/>
          <w:b w:val="0"/>
          <w:bCs w:val="0"/>
          <w:sz w:val="44"/>
          <w:szCs w:val="44"/>
        </w:rPr>
        <w:t>项目采购需求</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黑体" w:hAnsi="黑体" w:eastAsia="黑体" w:cs="黑体"/>
          <w:b w:val="0"/>
          <w:bCs/>
          <w:color w:val="auto"/>
          <w:kern w:val="0"/>
          <w:sz w:val="32"/>
          <w:szCs w:val="32"/>
        </w:rPr>
      </w:pPr>
    </w:p>
    <w:p>
      <w:pPr>
        <w:keepNext w:val="0"/>
        <w:keepLines w:val="0"/>
        <w:pageBreakBefore w:val="0"/>
        <w:widowControl w:val="0"/>
        <w:numPr>
          <w:ilvl w:val="0"/>
          <w:numId w:val="1"/>
        </w:numPr>
        <w:kinsoku/>
        <w:wordWrap/>
        <w:overflowPunct/>
        <w:topLinePunct w:val="0"/>
        <w:bidi w:val="0"/>
        <w:adjustRightInd/>
        <w:snapToGrid/>
        <w:spacing w:line="336" w:lineRule="auto"/>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项目概况</w:t>
      </w:r>
    </w:p>
    <w:p>
      <w:pPr>
        <w:pStyle w:val="2"/>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r>
        <w:rPr>
          <w:rFonts w:hint="eastAsia" w:ascii="仿宋_GB2312" w:hAnsi="仿宋_GB2312" w:eastAsia="仿宋_GB2312" w:cs="仿宋_GB2312"/>
          <w:b w:val="0"/>
          <w:bCs/>
          <w:sz w:val="32"/>
          <w:szCs w:val="32"/>
          <w:lang w:val="en-US" w:eastAsia="zh-CN"/>
        </w:rPr>
        <w:t>员工</w:t>
      </w:r>
      <w:r>
        <w:rPr>
          <w:rFonts w:hint="eastAsia" w:ascii="仿宋_GB2312" w:hAnsi="仿宋_GB2312" w:eastAsia="仿宋_GB2312" w:cs="仿宋_GB2312"/>
          <w:b w:val="0"/>
          <w:bCs/>
          <w:sz w:val="32"/>
          <w:szCs w:val="32"/>
          <w:lang w:eastAsia="zh-CN"/>
        </w:rPr>
        <w:t>综合福利</w:t>
      </w:r>
      <w:r>
        <w:rPr>
          <w:rFonts w:hint="eastAsia" w:ascii="仿宋_GB2312" w:hAnsi="仿宋_GB2312" w:eastAsia="仿宋_GB2312" w:cs="仿宋_GB2312"/>
          <w:b w:val="0"/>
          <w:bCs/>
          <w:sz w:val="32"/>
          <w:szCs w:val="32"/>
          <w:lang w:val="en-US" w:eastAsia="zh-CN"/>
        </w:rPr>
        <w:t>保险</w:t>
      </w:r>
      <w:r>
        <w:rPr>
          <w:rFonts w:hint="eastAsia" w:ascii="仿宋_GB2312" w:hAnsi="仿宋_GB2312" w:eastAsia="仿宋_GB2312" w:cs="仿宋_GB2312"/>
          <w:b w:val="0"/>
          <w:bCs/>
          <w:sz w:val="32"/>
          <w:szCs w:val="32"/>
        </w:rPr>
        <w:t>项目</w:t>
      </w:r>
    </w:p>
    <w:p>
      <w:pPr>
        <w:pStyle w:val="2"/>
        <w:pageBreakBefore w:val="0"/>
        <w:widowControl w:val="0"/>
        <w:kinsoku/>
        <w:wordWrap/>
        <w:overflowPunct/>
        <w:topLinePunct w:val="0"/>
        <w:bidi w:val="0"/>
        <w:adjustRightInd/>
        <w:snapToGrid/>
        <w:spacing w:line="336" w:lineRule="auto"/>
        <w:ind w:firstLine="628"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pacing w:val="-3"/>
          <w:sz w:val="32"/>
          <w:szCs w:val="32"/>
        </w:rPr>
        <w:t>项目背景：</w:t>
      </w:r>
      <w:r>
        <w:rPr>
          <w:rFonts w:hint="eastAsia" w:ascii="仿宋_GB2312" w:hAnsi="仿宋_GB2312" w:eastAsia="仿宋_GB2312" w:cs="仿宋_GB2312"/>
          <w:b w:val="0"/>
          <w:bCs/>
          <w:kern w:val="2"/>
          <w:sz w:val="32"/>
          <w:szCs w:val="32"/>
          <w:lang w:val="en-US" w:eastAsia="zh-CN" w:bidi="ar-SA"/>
        </w:rPr>
        <w:t>为降低企业用工风险，保障职工权益，公司为全体职工投保</w:t>
      </w:r>
      <w:r>
        <w:rPr>
          <w:rFonts w:hint="eastAsia" w:ascii="仿宋_GB2312" w:hAnsi="仿宋_GB2312" w:eastAsia="仿宋_GB2312" w:cs="仿宋_GB2312"/>
          <w:b w:val="0"/>
          <w:bCs/>
          <w:sz w:val="32"/>
          <w:szCs w:val="32"/>
          <w:lang w:eastAsia="zh-CN"/>
        </w:rPr>
        <w:t>综合福利</w:t>
      </w:r>
      <w:r>
        <w:rPr>
          <w:rFonts w:hint="eastAsia" w:ascii="仿宋_GB2312" w:hAnsi="仿宋_GB2312" w:eastAsia="仿宋_GB2312" w:cs="仿宋_GB2312"/>
          <w:b w:val="0"/>
          <w:bCs/>
          <w:sz w:val="32"/>
          <w:szCs w:val="32"/>
          <w:lang w:val="en-US" w:eastAsia="zh-CN"/>
        </w:rPr>
        <w:t>保险</w:t>
      </w:r>
      <w:r>
        <w:rPr>
          <w:rFonts w:hint="eastAsia" w:ascii="仿宋_GB2312" w:hAnsi="仿宋_GB2312" w:eastAsia="仿宋_GB2312" w:cs="仿宋_GB2312"/>
          <w:b w:val="0"/>
          <w:bCs/>
          <w:kern w:val="2"/>
          <w:sz w:val="32"/>
          <w:szCs w:val="32"/>
          <w:lang w:val="en-US" w:eastAsia="zh-CN" w:bidi="ar-SA"/>
        </w:rPr>
        <w:t>项目。履行采购流程后继续为上述人员投保上述险种。</w:t>
      </w:r>
    </w:p>
    <w:p>
      <w:pPr>
        <w:keepNext w:val="0"/>
        <w:keepLines w:val="0"/>
        <w:pageBreakBefore w:val="0"/>
        <w:widowControl w:val="0"/>
        <w:numPr>
          <w:ilvl w:val="0"/>
          <w:numId w:val="1"/>
        </w:numPr>
        <w:kinsoku/>
        <w:wordWrap/>
        <w:overflowPunct/>
        <w:topLinePunct w:val="0"/>
        <w:bidi w:val="0"/>
        <w:adjustRightInd/>
        <w:snapToGrid/>
        <w:spacing w:line="336" w:lineRule="auto"/>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项目依据</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本项目已经于2025年12月上报中翼航空投资有限公司的《上海航食关于2026年采购计划新增的请示》、已取得的中翼航空投资有限公司对上海航食《关于2026年采购计划新增的请示》的批复。</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黑体" w:hAnsi="黑体" w:eastAsia="黑体" w:cs="黑体"/>
          <w:color w:val="auto"/>
          <w:kern w:val="0"/>
          <w:sz w:val="32"/>
          <w:szCs w:val="32"/>
        </w:rPr>
      </w:pPr>
      <w:bookmarkStart w:id="0" w:name="_GoBack"/>
      <w:bookmarkEnd w:id="0"/>
      <w:r>
        <w:rPr>
          <w:rFonts w:hint="eastAsia" w:ascii="黑体" w:hAnsi="黑体" w:eastAsia="黑体" w:cs="黑体"/>
          <w:color w:val="auto"/>
          <w:kern w:val="0"/>
          <w:sz w:val="32"/>
          <w:szCs w:val="32"/>
        </w:rPr>
        <w:t>三、项目需求</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lang w:val="en-US" w:eastAsia="zh-CN"/>
        </w:rPr>
        <w:t>一</w:t>
      </w: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rPr>
        <w:t>项目地址：</w:t>
      </w:r>
      <w:r>
        <w:rPr>
          <w:rFonts w:hint="eastAsia" w:ascii="仿宋_GB2312" w:hAnsi="仿宋_GB2312" w:eastAsia="仿宋_GB2312" w:cs="仿宋_GB2312"/>
          <w:color w:val="auto"/>
          <w:kern w:val="0"/>
          <w:sz w:val="32"/>
          <w:szCs w:val="32"/>
        </w:rPr>
        <w:t>浦东新区领航路100号</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spacing w:val="-2"/>
          <w:sz w:val="32"/>
          <w:szCs w:val="32"/>
          <w:lang w:val="en-US" w:eastAsia="zh-CN"/>
        </w:rPr>
      </w:pP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lang w:val="en-US" w:eastAsia="zh-CN"/>
        </w:rPr>
        <w:t>二</w:t>
      </w: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rPr>
        <w:t>服务期限：</w:t>
      </w:r>
      <w:r>
        <w:rPr>
          <w:rFonts w:hint="eastAsia" w:ascii="仿宋_GB2312" w:hAnsi="仿宋_GB2312" w:eastAsia="仿宋_GB2312" w:cs="仿宋_GB2312"/>
          <w:spacing w:val="-2"/>
          <w:sz w:val="32"/>
          <w:szCs w:val="32"/>
          <w:lang w:val="en-US" w:eastAsia="zh-CN"/>
        </w:rPr>
        <w:t>自保险责任起始之日（2026年9月28日零时）起，至保险期满止。中选供应商确保各项保险服务落实到位，严格履行保险相关服务义务。</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spacing w:val="-2"/>
          <w:kern w:val="2"/>
          <w:sz w:val="32"/>
          <w:szCs w:val="32"/>
          <w:lang w:val="en-US" w:eastAsia="zh-CN" w:bidi="ar-SA"/>
        </w:rPr>
      </w:pPr>
      <w:r>
        <w:rPr>
          <w:rFonts w:hint="eastAsia" w:ascii="楷体" w:hAnsi="楷体" w:eastAsia="楷体" w:cs="楷体"/>
          <w:color w:val="auto"/>
          <w:kern w:val="0"/>
          <w:sz w:val="32"/>
          <w:szCs w:val="32"/>
          <w:lang w:val="en-US" w:eastAsia="zh-CN"/>
        </w:rPr>
        <w:t>（三）付款方式：</w:t>
      </w:r>
      <w:r>
        <w:rPr>
          <w:rFonts w:hint="eastAsia" w:ascii="仿宋_GB2312" w:hAnsi="仿宋_GB2312" w:eastAsia="仿宋_GB2312" w:cs="仿宋_GB2312"/>
          <w:spacing w:val="-2"/>
          <w:kern w:val="2"/>
          <w:sz w:val="32"/>
          <w:szCs w:val="32"/>
          <w:lang w:val="en-US" w:eastAsia="zh-CN" w:bidi="ar-SA"/>
        </w:rPr>
        <w:t>依据中选供应商出具付费通知书载明金额，将保险费划至保险公司指定帐户，保险公司完成收款后，再出具正式保单及发票。</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仿宋_GB2312" w:hAnsi="仿宋_GB2312" w:eastAsia="仿宋_GB2312" w:cs="仿宋_GB2312"/>
          <w:spacing w:val="-7"/>
          <w:sz w:val="32"/>
          <w:szCs w:val="32"/>
          <w:highlight w:val="none"/>
          <w:lang w:val="en-US" w:eastAsia="zh-CN"/>
        </w:rPr>
      </w:pPr>
      <w:r>
        <w:rPr>
          <w:rFonts w:hint="eastAsia" w:ascii="楷体" w:hAnsi="楷体" w:eastAsia="楷体" w:cs="楷体"/>
          <w:color w:val="auto"/>
          <w:kern w:val="0"/>
          <w:sz w:val="32"/>
          <w:szCs w:val="32"/>
          <w:lang w:val="en-US" w:eastAsia="zh-CN"/>
        </w:rPr>
        <w:t>（四）</w:t>
      </w:r>
      <w:r>
        <w:rPr>
          <w:rFonts w:hint="eastAsia" w:ascii="楷体" w:hAnsi="楷体" w:eastAsia="楷体" w:cs="楷体"/>
          <w:bCs/>
          <w:color w:val="auto"/>
          <w:kern w:val="0"/>
          <w:sz w:val="32"/>
          <w:szCs w:val="32"/>
          <w:lang w:val="en-US" w:eastAsia="zh-CN"/>
        </w:rPr>
        <w:t>服务内容和要求：</w:t>
      </w:r>
      <w:r>
        <w:rPr>
          <w:rFonts w:hint="eastAsia" w:ascii="仿宋_GB2312" w:hAnsi="仿宋_GB2312" w:eastAsia="仿宋_GB2312" w:cs="仿宋_GB2312"/>
          <w:spacing w:val="-7"/>
          <w:sz w:val="32"/>
          <w:szCs w:val="32"/>
          <w:lang w:val="en-US" w:eastAsia="zh-CN"/>
        </w:rPr>
        <w:t>本项目确定一家中选供应商，为采购单位提供保险服务。被保险人员名单以上海中航航空食品有限公司提供的正式名单为准。保障范围涵盖意外伤害、疾病住院、门急诊医疗、重大疾病、疾病身故等保障范围，同时为相关人员增设补充医疗保障，进一步完善整体保障体系。</w:t>
      </w:r>
      <w:r>
        <w:rPr>
          <w:rFonts w:hint="eastAsia" w:ascii="仿宋_GB2312" w:hAnsi="仿宋_GB2312" w:eastAsia="仿宋_GB2312" w:cs="仿宋_GB2312"/>
          <w:spacing w:val="-7"/>
          <w:sz w:val="32"/>
          <w:szCs w:val="32"/>
          <w:highlight w:val="none"/>
          <w:lang w:val="en-US" w:eastAsia="zh-CN"/>
        </w:rPr>
        <w:t>本保单不承担的责任为：被保险人在本次投保生效前已确诊罹患的重大疾病及由该疾病引发的相关并发症所导致的重大疾病赔付和疾病身故相关责任。</w:t>
      </w:r>
    </w:p>
    <w:p>
      <w:pPr>
        <w:keepNext w:val="0"/>
        <w:keepLines w:val="0"/>
        <w:pageBreakBefore w:val="0"/>
        <w:widowControl w:val="0"/>
        <w:kinsoku/>
        <w:wordWrap/>
        <w:overflowPunct/>
        <w:topLinePunct w:val="0"/>
        <w:bidi w:val="0"/>
        <w:adjustRightInd/>
        <w:snapToGrid/>
        <w:spacing w:line="336" w:lineRule="auto"/>
        <w:textAlignment w:val="auto"/>
        <w:rPr>
          <w:rFonts w:hint="default"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本次参保人员分类信息如下：</w:t>
      </w:r>
    </w:p>
    <w:tbl>
      <w:tblPr>
        <w:tblStyle w:val="7"/>
        <w:tblpPr w:leftFromText="180" w:rightFromText="180" w:vertAnchor="text" w:horzAnchor="page" w:tblpX="1727" w:tblpY="165"/>
        <w:tblOverlap w:val="never"/>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3"/>
        <w:gridCol w:w="2092"/>
        <w:gridCol w:w="1348"/>
        <w:gridCol w:w="197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1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类别</w:t>
            </w:r>
          </w:p>
        </w:tc>
        <w:tc>
          <w:tcPr>
            <w:tcW w:w="1303"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高级管理</w:t>
            </w:r>
          </w:p>
        </w:tc>
        <w:tc>
          <w:tcPr>
            <w:tcW w:w="2092"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主管层级以上</w:t>
            </w:r>
          </w:p>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p>
        </w:tc>
        <w:tc>
          <w:tcPr>
            <w:tcW w:w="134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普通员工</w:t>
            </w:r>
          </w:p>
        </w:tc>
        <w:tc>
          <w:tcPr>
            <w:tcW w:w="197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员工子女</w:t>
            </w:r>
          </w:p>
        </w:tc>
        <w:tc>
          <w:tcPr>
            <w:tcW w:w="1310" w:type="dxa"/>
            <w:noWrap w:val="0"/>
            <w:vAlign w:val="center"/>
          </w:tcPr>
          <w:p>
            <w:pPr>
              <w:keepNext w:val="0"/>
              <w:keepLines w:val="0"/>
              <w:pageBreakBefore w:val="0"/>
              <w:widowControl w:val="0"/>
              <w:tabs>
                <w:tab w:val="left" w:pos="468"/>
              </w:tabs>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双职工子女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1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平均年龄</w:t>
            </w:r>
          </w:p>
        </w:tc>
        <w:tc>
          <w:tcPr>
            <w:tcW w:w="1303"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49岁</w:t>
            </w:r>
          </w:p>
        </w:tc>
        <w:tc>
          <w:tcPr>
            <w:tcW w:w="2092"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44岁</w:t>
            </w:r>
          </w:p>
        </w:tc>
        <w:tc>
          <w:tcPr>
            <w:tcW w:w="134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41岁</w:t>
            </w:r>
          </w:p>
        </w:tc>
        <w:tc>
          <w:tcPr>
            <w:tcW w:w="197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tc>
        <w:tc>
          <w:tcPr>
            <w:tcW w:w="1310"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81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预计</w:t>
            </w:r>
            <w:r>
              <w:rPr>
                <w:rFonts w:hint="eastAsia" w:ascii="仿宋_GB2312" w:hAnsi="仿宋_GB2312" w:eastAsia="仿宋_GB2312" w:cs="仿宋_GB2312"/>
                <w:b w:val="0"/>
                <w:bCs w:val="0"/>
                <w:sz w:val="32"/>
                <w:szCs w:val="32"/>
              </w:rPr>
              <w:t>人数</w:t>
            </w:r>
          </w:p>
        </w:tc>
        <w:tc>
          <w:tcPr>
            <w:tcW w:w="1303"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p>
        </w:tc>
        <w:tc>
          <w:tcPr>
            <w:tcW w:w="2092"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86</w:t>
            </w:r>
          </w:p>
        </w:tc>
        <w:tc>
          <w:tcPr>
            <w:tcW w:w="134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477</w:t>
            </w:r>
          </w:p>
        </w:tc>
        <w:tc>
          <w:tcPr>
            <w:tcW w:w="1978"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65</w:t>
            </w:r>
          </w:p>
        </w:tc>
        <w:tc>
          <w:tcPr>
            <w:tcW w:w="1310" w:type="dxa"/>
            <w:noWrap w:val="0"/>
            <w:vAlign w:val="center"/>
          </w:tcPr>
          <w:p>
            <w:pPr>
              <w:keepNext w:val="0"/>
              <w:keepLines w:val="0"/>
              <w:pageBreakBefore w:val="0"/>
              <w:widowControl w:val="0"/>
              <w:kinsoku/>
              <w:wordWrap/>
              <w:overflowPunct/>
              <w:topLinePunct w:val="0"/>
              <w:bidi w:val="0"/>
              <w:adjustRightInd/>
              <w:snapToGrid w:val="0"/>
              <w:spacing w:line="336"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default" w:ascii="仿宋_GB2312" w:hAnsi="仿宋_GB2312" w:eastAsia="仿宋_GB2312" w:cs="仿宋_GB2312"/>
          <w:spacing w:val="-7"/>
          <w:sz w:val="32"/>
          <w:szCs w:val="32"/>
          <w:lang w:val="en-US" w:eastAsia="zh-CN"/>
        </w:rPr>
      </w:pPr>
      <w:r>
        <w:rPr>
          <w:rFonts w:hint="eastAsia" w:ascii="仿宋_GB2312" w:hAnsi="仿宋_GB2312" w:eastAsia="仿宋_GB2312" w:cs="仿宋_GB2312"/>
          <w:b w:val="0"/>
          <w:bCs w:val="0"/>
          <w:sz w:val="32"/>
          <w:szCs w:val="32"/>
          <w:lang w:val="en-US" w:eastAsia="zh-CN"/>
        </w:rPr>
        <w:t>等级一（</w:t>
      </w:r>
      <w:r>
        <w:rPr>
          <w:rFonts w:hint="eastAsia" w:ascii="仿宋_GB2312" w:hAnsi="仿宋_GB2312" w:eastAsia="仿宋_GB2312" w:cs="仿宋_GB2312"/>
          <w:sz w:val="32"/>
          <w:szCs w:val="32"/>
          <w:lang w:val="en-US" w:eastAsia="zh-CN"/>
        </w:rPr>
        <w:t>高级管理</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7"/>
          <w:sz w:val="32"/>
          <w:szCs w:val="32"/>
          <w:lang w:val="en-US" w:eastAsia="zh-CN"/>
        </w:rPr>
        <w:t>：</w:t>
      </w:r>
    </w:p>
    <w:tbl>
      <w:tblPr>
        <w:tblStyle w:val="8"/>
        <w:tblW w:w="88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4359"/>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47"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投保险种</w:t>
            </w:r>
          </w:p>
        </w:tc>
        <w:tc>
          <w:tcPr>
            <w:tcW w:w="4359"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保险责任简述</w:t>
            </w:r>
          </w:p>
        </w:tc>
        <w:tc>
          <w:tcPr>
            <w:tcW w:w="2532"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疾病身故</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因疾病导致的身故</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意外伤害</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因意外造成的死亡或残疾</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50万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门、急诊</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2万(开放特需，不含挂号费）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疾病住院</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2万(开放特需，不含挂号费）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住院津贴</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因意外或疾病导致的住院，每天100元，无免赔天数</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100元/天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住院手术医疗津贴</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因意外或疾病导致的住院手术津贴</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0.5万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重大疾病</w:t>
            </w:r>
          </w:p>
        </w:tc>
        <w:tc>
          <w:tcPr>
            <w:tcW w:w="43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重大疾病（不含轻症）</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b w:val="0"/>
          <w:bCs w:val="0"/>
          <w:sz w:val="32"/>
          <w:szCs w:val="32"/>
          <w:lang w:val="en-US" w:eastAsia="zh-CN"/>
        </w:rPr>
        <w:t>等级二（主管层级以上）</w:t>
      </w:r>
      <w:r>
        <w:rPr>
          <w:rFonts w:hint="eastAsia" w:ascii="仿宋_GB2312" w:hAnsi="仿宋_GB2312" w:eastAsia="仿宋_GB2312" w:cs="仿宋_GB2312"/>
          <w:spacing w:val="-7"/>
          <w:sz w:val="32"/>
          <w:szCs w:val="32"/>
          <w:lang w:val="en-US" w:eastAsia="zh-CN"/>
        </w:rPr>
        <w:t>：</w:t>
      </w:r>
    </w:p>
    <w:tbl>
      <w:tblPr>
        <w:tblStyle w:val="8"/>
        <w:tblW w:w="88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4373"/>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33"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投保险种</w:t>
            </w:r>
          </w:p>
        </w:tc>
        <w:tc>
          <w:tcPr>
            <w:tcW w:w="4373"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保险责任简述</w:t>
            </w:r>
          </w:p>
        </w:tc>
        <w:tc>
          <w:tcPr>
            <w:tcW w:w="2532"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疾病身故</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因疾病导致的身故</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意外伤害</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因意外造成的死亡或残疾</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50万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门、急诊</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2万(开放特需，不含挂号费）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疾病住院</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2万(开放特需，不含挂号费）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住院津贴</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因意外或疾病导致的住院，每天100元，无免赔天数</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100元/天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住院手术医疗津贴</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因意外或疾病导致的住院手术津贴</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0.5万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highlight w:val="yellow"/>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重大疾病</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highlight w:val="yellow"/>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重大疾病（不含轻症）</w:t>
            </w:r>
          </w:p>
        </w:tc>
        <w:tc>
          <w:tcPr>
            <w:tcW w:w="2532"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highlight w:val="yellow"/>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等级三（普通员工）：</w:t>
      </w:r>
    </w:p>
    <w:tbl>
      <w:tblPr>
        <w:tblStyle w:val="8"/>
        <w:tblW w:w="884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4373"/>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投保险种</w:t>
            </w:r>
          </w:p>
        </w:tc>
        <w:tc>
          <w:tcPr>
            <w:tcW w:w="4373"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保险责任简述</w:t>
            </w:r>
          </w:p>
        </w:tc>
        <w:tc>
          <w:tcPr>
            <w:tcW w:w="2534"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疾病身故</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因疾病导致的身故</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意外伤害</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因意外造成的死亡或残疾</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 xml:space="preserve"> 50万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门、急诊</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疾病住院</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100%赔付，含乙类药</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住院津贴</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因意外或疾病导致的住院，每天100元，无免赔天数</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100元/天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住院手术医疗津贴</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因意外或疾病导致的住院手术津贴</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0.5万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重大疾病</w:t>
            </w:r>
          </w:p>
        </w:tc>
        <w:tc>
          <w:tcPr>
            <w:tcW w:w="437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重大疾病（不含轻症）</w:t>
            </w:r>
          </w:p>
        </w:tc>
        <w:tc>
          <w:tcPr>
            <w:tcW w:w="2534"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20万 </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等级四（子女）：</w:t>
      </w:r>
    </w:p>
    <w:tbl>
      <w:tblPr>
        <w:tblStyle w:val="8"/>
        <w:tblW w:w="8853"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37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投保险种</w:t>
            </w:r>
          </w:p>
        </w:tc>
        <w:tc>
          <w:tcPr>
            <w:tcW w:w="4374"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保险责任简述</w:t>
            </w:r>
          </w:p>
        </w:tc>
        <w:tc>
          <w:tcPr>
            <w:tcW w:w="2520"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意外伤害</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因意外导致的身故或残疾</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5万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门、急诊</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br w:type="textWrapping"/>
            </w:r>
            <w:r>
              <w:rPr>
                <w:rFonts w:hint="eastAsia" w:ascii="仿宋_GB2312" w:hAnsi="仿宋_GB2312" w:eastAsia="仿宋_GB2312" w:cs="仿宋_GB2312"/>
                <w:i w:val="0"/>
                <w:color w:val="000000"/>
                <w:kern w:val="0"/>
                <w:sz w:val="32"/>
                <w:szCs w:val="32"/>
                <w:u w:val="none"/>
                <w:lang w:val="en-US" w:eastAsia="zh-CN" w:bidi="ar"/>
              </w:rPr>
              <w:t>疾病或意外导致的门诊，50%赔付</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疾病住院</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因意外或疾病导致的住院，50%赔付</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等级五（双职工子女）：</w:t>
      </w:r>
    </w:p>
    <w:tbl>
      <w:tblPr>
        <w:tblStyle w:val="8"/>
        <w:tblW w:w="8853"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37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投保险种</w:t>
            </w:r>
          </w:p>
        </w:tc>
        <w:tc>
          <w:tcPr>
            <w:tcW w:w="4374"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保险责任简述</w:t>
            </w:r>
          </w:p>
        </w:tc>
        <w:tc>
          <w:tcPr>
            <w:tcW w:w="2520" w:type="dxa"/>
            <w:vAlign w:val="center"/>
          </w:tcPr>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left="0" w:leftChars="0" w:right="236" w:rightChars="0" w:firstLine="0" w:firstLineChars="0"/>
              <w:jc w:val="center"/>
              <w:textAlignment w:val="auto"/>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spacing w:val="-7"/>
                <w:sz w:val="32"/>
                <w:szCs w:val="32"/>
                <w:vertAlign w:val="baseline"/>
                <w:lang w:val="en-US" w:eastAsia="zh-CN"/>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意外伤害</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因意外导致的身故或残疾</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5万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门、急诊</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br w:type="textWrapping"/>
            </w:r>
            <w:r>
              <w:rPr>
                <w:rFonts w:hint="eastAsia" w:ascii="仿宋_GB2312" w:hAnsi="仿宋_GB2312" w:eastAsia="仿宋_GB2312" w:cs="仿宋_GB2312"/>
                <w:i w:val="0"/>
                <w:color w:val="000000"/>
                <w:kern w:val="0"/>
                <w:sz w:val="32"/>
                <w:szCs w:val="32"/>
                <w:u w:val="none"/>
                <w:lang w:val="en-US" w:eastAsia="zh-CN" w:bidi="ar"/>
              </w:rPr>
              <w:t>疾病或意外导致的门诊，100%赔付</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widowControl/>
              <w:suppressLineNumbers w:val="0"/>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疾病住院</w:t>
            </w:r>
          </w:p>
        </w:tc>
        <w:tc>
          <w:tcPr>
            <w:tcW w:w="4374"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因意外或疾病导致的住院，100%赔付</w:t>
            </w:r>
          </w:p>
        </w:tc>
        <w:tc>
          <w:tcPr>
            <w:tcW w:w="2520" w:type="dxa"/>
            <w:vAlign w:val="center"/>
          </w:tcPr>
          <w:p>
            <w:pPr>
              <w:keepNext w:val="0"/>
              <w:keepLines w:val="0"/>
              <w:pageBreakBefore w:val="0"/>
              <w:widowControl/>
              <w:suppressLineNumbers w:val="0"/>
              <w:kinsoku/>
              <w:wordWrap/>
              <w:overflowPunct/>
              <w:topLinePunct w:val="0"/>
              <w:bidi w:val="0"/>
              <w:adjustRightInd/>
              <w:spacing w:line="336" w:lineRule="auto"/>
              <w:jc w:val="center"/>
              <w:textAlignment w:val="center"/>
              <w:rPr>
                <w:rFonts w:hint="eastAsia" w:ascii="仿宋_GB2312" w:hAnsi="仿宋_GB2312" w:eastAsia="仿宋_GB2312" w:cs="仿宋_GB2312"/>
                <w:spacing w:val="-7"/>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 xml:space="preserve"> 2万 </w:t>
            </w:r>
          </w:p>
        </w:tc>
      </w:tr>
    </w:tbl>
    <w:p>
      <w:pPr>
        <w:pStyle w:val="3"/>
        <w:keepNext w:val="0"/>
        <w:keepLines w:val="0"/>
        <w:pageBreakBefore w:val="0"/>
        <w:widowControl w:val="0"/>
        <w:kinsoku/>
        <w:wordWrap/>
        <w:overflowPunct/>
        <w:topLinePunct w:val="0"/>
        <w:autoSpaceDE w:val="0"/>
        <w:autoSpaceDN w:val="0"/>
        <w:bidi w:val="0"/>
        <w:adjustRightInd/>
        <w:snapToGrid/>
        <w:spacing w:before="1" w:line="336" w:lineRule="auto"/>
        <w:ind w:right="236"/>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highlight w:val="none"/>
          <w:lang w:val="en-US" w:eastAsia="zh-CN"/>
        </w:rPr>
        <w:t>补充医疗（特殊医疗费用）保障：</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right="236" w:firstLine="612" w:firstLineChars="200"/>
        <w:jc w:val="both"/>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本保障仅限本单位在职人员报销相关医疗费用，包括但不限于门急诊、住院治疗、外购药、生育、体检、健康管理等相关费用。费用实行按年度限额管理，具体限额标准如下：</w:t>
      </w:r>
    </w:p>
    <w:tbl>
      <w:tblPr>
        <w:tblStyle w:val="7"/>
        <w:tblW w:w="8887"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20"/>
        <w:gridCol w:w="6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val="en-US"/>
              </w:rPr>
            </w:pPr>
            <w:r>
              <w:rPr>
                <w:rFonts w:hint="eastAsia" w:ascii="仿宋_GB2312" w:hAnsi="仿宋_GB2312" w:eastAsia="仿宋_GB2312" w:cs="仿宋_GB2312"/>
                <w:i w:val="0"/>
                <w:color w:val="000000"/>
                <w:kern w:val="0"/>
                <w:sz w:val="32"/>
                <w:szCs w:val="32"/>
                <w:u w:val="none"/>
                <w:lang w:val="en-US" w:eastAsia="zh-CN" w:bidi="ar"/>
              </w:rPr>
              <w:t>人员级别</w:t>
            </w:r>
          </w:p>
        </w:tc>
        <w:tc>
          <w:tcPr>
            <w:tcW w:w="62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限额（元/人/年）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高管层</w:t>
            </w:r>
          </w:p>
        </w:tc>
        <w:tc>
          <w:tcPr>
            <w:tcW w:w="62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4000标准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主管层级以上</w:t>
            </w:r>
          </w:p>
        </w:tc>
        <w:tc>
          <w:tcPr>
            <w:tcW w:w="62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2000标准</w:t>
            </w:r>
          </w:p>
        </w:tc>
      </w:tr>
    </w:tbl>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right="236" w:firstLine="612" w:firstLineChars="200"/>
        <w:jc w:val="both"/>
        <w:textAlignment w:val="auto"/>
        <w:rPr>
          <w:rFonts w:hint="eastAsia" w:ascii="仿宋_GB2312" w:hAnsi="仿宋_GB2312" w:eastAsia="仿宋_GB2312" w:cs="仿宋_GB2312"/>
          <w:spacing w:val="-2"/>
          <w:sz w:val="32"/>
          <w:szCs w:val="32"/>
          <w:highlight w:val="none"/>
          <w:lang w:val="en-US" w:eastAsia="zh-CN"/>
        </w:rPr>
      </w:pPr>
      <w:r>
        <w:rPr>
          <w:rFonts w:hint="eastAsia" w:ascii="仿宋_GB2312" w:hAnsi="仿宋_GB2312" w:eastAsia="仿宋_GB2312" w:cs="仿宋_GB2312"/>
          <w:spacing w:val="-7"/>
          <w:sz w:val="32"/>
          <w:szCs w:val="32"/>
          <w:lang w:val="en-US" w:eastAsia="zh-CN"/>
        </w:rPr>
        <w:t>1.中选</w:t>
      </w:r>
      <w:r>
        <w:rPr>
          <w:rFonts w:hint="eastAsia" w:ascii="仿宋_GB2312" w:hAnsi="仿宋_GB2312" w:eastAsia="仿宋_GB2312" w:cs="仿宋_GB2312"/>
          <w:spacing w:val="-2"/>
          <w:sz w:val="32"/>
          <w:szCs w:val="32"/>
          <w:lang w:val="en-US" w:eastAsia="zh-CN"/>
        </w:rPr>
        <w:t>供应商必须按照合同约定时间、经采购单位核定的</w:t>
      </w:r>
      <w:r>
        <w:rPr>
          <w:rFonts w:hint="eastAsia" w:ascii="仿宋_GB2312" w:hAnsi="仿宋_GB2312" w:eastAsia="仿宋_GB2312" w:cs="仿宋_GB2312"/>
          <w:spacing w:val="-2"/>
          <w:sz w:val="32"/>
          <w:szCs w:val="32"/>
          <w:highlight w:val="none"/>
          <w:lang w:val="en-US" w:eastAsia="zh-CN"/>
        </w:rPr>
        <w:t>标准、及时、足额办理完人员保险、理赔等相关业务手续。保险年度内新增人员，供应商需同步出具保全费用明细，保障被保险单位税务抵扣合法合规。</w:t>
      </w:r>
    </w:p>
    <w:p>
      <w:pPr>
        <w:keepNext w:val="0"/>
        <w:keepLines w:val="0"/>
        <w:widowControl/>
        <w:suppressLineNumbers w:val="0"/>
        <w:ind w:firstLine="612" w:firstLineChars="200"/>
        <w:jc w:val="left"/>
        <w:rPr>
          <w:rFonts w:hint="default" w:ascii="仿宋_GB2312" w:hAnsi="仿宋_GB2312" w:eastAsia="仿宋_GB2312" w:cs="仿宋_GB2312"/>
          <w:spacing w:val="-7"/>
          <w:kern w:val="2"/>
          <w:sz w:val="32"/>
          <w:szCs w:val="32"/>
          <w:lang w:val="en-US" w:eastAsia="zh-CN" w:bidi="ar-SA"/>
        </w:rPr>
      </w:pPr>
      <w:r>
        <w:rPr>
          <w:rFonts w:hint="eastAsia" w:ascii="仿宋_GB2312" w:hAnsi="仿宋_GB2312" w:eastAsia="仿宋_GB2312" w:cs="仿宋_GB2312"/>
          <w:spacing w:val="-7"/>
          <w:kern w:val="2"/>
          <w:sz w:val="32"/>
          <w:szCs w:val="32"/>
          <w:lang w:val="en-US" w:eastAsia="zh-CN" w:bidi="ar-SA"/>
        </w:rPr>
        <w:t>2.本项目保费年度人员总量核定，确定年度支付总价。供应商需要满足采购文件全部要求，在此基础上，可提供优于要求的保障与服务。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 w:line="336" w:lineRule="auto"/>
        <w:ind w:right="236" w:rightChars="0" w:firstLine="612" w:firstLineChars="200"/>
        <w:jc w:val="both"/>
        <w:textAlignment w:val="auto"/>
        <w:rPr>
          <w:rFonts w:hint="eastAsia" w:ascii="仿宋_GB2312" w:hAnsi="仿宋_GB2312" w:eastAsia="仿宋_GB2312" w:cs="仿宋_GB2312"/>
          <w:spacing w:val="-7"/>
          <w:kern w:val="2"/>
          <w:sz w:val="32"/>
          <w:szCs w:val="32"/>
          <w:lang w:val="en-US" w:eastAsia="zh-CN" w:bidi="ar-SA"/>
        </w:rPr>
      </w:pPr>
      <w:r>
        <w:rPr>
          <w:rFonts w:hint="eastAsia" w:ascii="仿宋_GB2312" w:hAnsi="仿宋_GB2312" w:eastAsia="仿宋_GB2312" w:cs="仿宋_GB2312"/>
          <w:spacing w:val="-7"/>
          <w:kern w:val="2"/>
          <w:sz w:val="32"/>
          <w:szCs w:val="32"/>
          <w:lang w:val="en-US" w:eastAsia="zh-CN" w:bidi="ar-SA"/>
        </w:rPr>
        <w:t>3.中选供应商需开通24小时全天人工报案服务热线，设置专属对接人员受理索赔，接、报案，包含收取理赔件、员工保险问题解答。理赔结案后按批次反馈理赔结果，出具理赔汇总单，并出具每名员工的理赔分割单，且退还不完全给付的医药费收据及复印件，并出具不给付通知书。</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4.为了保障服务质量，中选</w:t>
      </w:r>
      <w:r>
        <w:rPr>
          <w:rFonts w:hint="eastAsia" w:ascii="仿宋_GB2312" w:hAnsi="仿宋_GB2312" w:eastAsia="仿宋_GB2312" w:cs="仿宋_GB2312"/>
          <w:spacing w:val="-7"/>
          <w:kern w:val="2"/>
          <w:sz w:val="32"/>
          <w:szCs w:val="32"/>
          <w:lang w:val="en-US" w:eastAsia="zh-CN" w:bidi="ar-SA"/>
        </w:rPr>
        <w:t>供应商</w:t>
      </w:r>
      <w:r>
        <w:rPr>
          <w:rFonts w:hint="eastAsia" w:ascii="仿宋_GB2312" w:hAnsi="仿宋_GB2312" w:eastAsia="仿宋_GB2312" w:cs="仿宋_GB2312"/>
          <w:spacing w:val="-2"/>
          <w:sz w:val="32"/>
          <w:szCs w:val="32"/>
          <w:lang w:val="en-US" w:eastAsia="zh-CN"/>
        </w:rPr>
        <w:t>需为本项目配备成熟完善的线上自助理赔服务体系，涵盖手机APP、微信公众号、PC客户端等多渠道端口。系统功能需涵盖索赔资料上传、赔付进度查询、赔付情况统计、疑难解答等；线上自助理赔免限额门诊不得低于人民币5000元，住院不得低于人民币20000元，简化理赔审批流程，压缩理赔时效。</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5.保险生效时间以2026年9月29日为准。中选供应商需在保险费用到账后3个工作日内，出具完整项目保单，严禁无故拖延。</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6.中选供应商收到中选通知后，需承担自2026年9月28日零时起的所有保险责任，保障无缝衔接，无保障空窗期。</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中选供应商收到理赔申请资料后，需立即开展审核工作。若对事故保险责任存在疑问或认为理赔申请资料存在问题（不完整、存在瑕疵），需在收到理赔申请资料后3个工作日内一次性告知补正要求，逾期未提出审核意见的，则视为自动认可该笔理赔申请资料。</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8.对属于保险责任的，中选供应商必须在与被供应商或者受益人达成有关赔偿或者给付保险金额的协议后5个工作日内，履行赔偿或者给付保险金赔付义务。</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中选供应商自收到赔偿或者给付保险金的请求和有关证明、资料之日起三十日内，对其赔偿或者给付保险金的数额不能确定的，应当根据已有证明和资料可以确定的最低数额先予支付；供应商最终确定赔偿或者给付保险金的数额后，应当支付相应的差额。</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10.拒赔案件处理要求：拒赔案件主要指全部拒赔、部分拒赔及暂缓赔付案件。分别要求如下：</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A、全部拒赔案件：供应商经审核，判定全部拒赔的案件，应出具正式的不给付通知书，列明拒赔金额及原因，并将所有原始理赔资料退回；</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B、部分拒赔案件：供应商经审核，判定部分拒赔的案件，应在个人理赔分割单中列明拒赔金额及原因，如涉及同一张收据中存在部分拒赔金额的情况，请注明收据号，列出拒赔项目，并将所有原始理赔资料退回；</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C、暂缓赔付案件：供应商经审核，判定暂缓赔付的案件，应出具正式补充理赔资料的通知书，并说明原因，所有原始理赔资料暂时由供应商妥善保存。</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11.中选供应商应在每半年结束后的20个工作日内向我方公司提供截至保期内的理赔数据统计报表。内容包括但不限于：事故者姓名、事故者身份证号、申报金额、扣减金额、合理金额、赔付金额、扣减原因、审核结论、理赔额、免赔额、已扣除免赔额、本次扣除免赔额、给付比例、账户姓名、账户所有人证件号码、开户银行、银行账号、理算金额合计，复核人、完成理赔日期，赔付、病情汇总等完整明细数据。</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12.被供应商投保人员可通过线上咨询（自助理赔服务系统咨询、客服专线电话或短信咨询）、线下咨询（当面咨询）等方式向投标人咨询保险有关问题。对于投保人、被供应商咨询的有关本保险的各类问题，能够明确答复的立刻答复，需查询答复的应在48小时范围内给予明确答复。</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13.中选供应商不得将本项目所载义务、责任分出给其他保险公司承担。</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14.中选供应商必须遵循投保人有关事故消息公布及各项保密守则和制度。</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15.中选供应商应提供保险知识、出险索赔程序，医疗健康管理等免费咨询服务。在保单周期开始后的三个月内组织不少于2次线下保险知识、风险管理、理赔实操等相关培训，单场培训时长不低于4小时；培训场地优先安排在我公司内部，培训时间由双方共同协商确定，培训全部费用由供应商承担。</w:t>
      </w:r>
    </w:p>
    <w:p>
      <w:pPr>
        <w:keepNext w:val="0"/>
        <w:keepLines w:val="0"/>
        <w:widowControl/>
        <w:suppressLineNumbers w:val="0"/>
        <w:ind w:firstLine="632" w:firstLineChars="200"/>
        <w:jc w:val="left"/>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16.中选供应商应编制、印刷精美的《员工福利保障手册》，清晰说明保单条款、保障范围、理赔流程、注意事项，并在保单生效后一周内发放至每位参保人员。</w:t>
      </w:r>
    </w:p>
    <w:p>
      <w:pPr>
        <w:keepNext w:val="0"/>
        <w:keepLines w:val="0"/>
        <w:pageBreakBefore w:val="0"/>
        <w:widowControl w:val="0"/>
        <w:kinsoku/>
        <w:wordWrap/>
        <w:overflowPunct/>
        <w:topLinePunct w:val="0"/>
        <w:bidi w:val="0"/>
        <w:adjustRightInd/>
        <w:spacing w:line="336" w:lineRule="auto"/>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17.本项目为人身保险业务，中选供应商必须为经国家金融监管部门批准设立，并依法登记注册的人身保险法人机构或其分支机构。单纯经营财产保险业务的公司不具备参选资格，其投标一律认定为无效。</w:t>
      </w:r>
    </w:p>
    <w:p>
      <w:pPr>
        <w:keepNext w:val="0"/>
        <w:keepLines w:val="0"/>
        <w:pageBreakBefore w:val="0"/>
        <w:widowControl w:val="0"/>
        <w:kinsoku/>
        <w:wordWrap/>
        <w:overflowPunct/>
        <w:topLinePunct w:val="0"/>
        <w:bidi w:val="0"/>
        <w:adjustRightInd/>
        <w:snapToGrid/>
        <w:spacing w:line="336"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四、供应商资质要求</w:t>
      </w:r>
    </w:p>
    <w:p>
      <w:pPr>
        <w:keepNext w:val="0"/>
        <w:keepLines w:val="0"/>
        <w:pageBreakBefore w:val="0"/>
        <w:widowControl w:val="0"/>
        <w:kinsoku/>
        <w:wordWrap/>
        <w:overflowPunct/>
        <w:topLinePunct w:val="0"/>
        <w:bidi w:val="0"/>
        <w:adjustRightInd/>
        <w:snapToGrid/>
        <w:spacing w:line="336"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中选</w:t>
      </w:r>
      <w:r>
        <w:rPr>
          <w:rFonts w:hint="eastAsia" w:ascii="仿宋_GB2312" w:hAnsi="仿宋_GB2312" w:eastAsia="仿宋_GB2312" w:cs="仿宋_GB2312"/>
          <w:spacing w:val="-2"/>
          <w:sz w:val="32"/>
          <w:szCs w:val="32"/>
        </w:rPr>
        <w:t>供应商</w:t>
      </w:r>
      <w:r>
        <w:rPr>
          <w:rFonts w:hint="eastAsia" w:ascii="仿宋_GB2312" w:hAnsi="仿宋_GB2312" w:eastAsia="仿宋_GB2312" w:cs="仿宋_GB2312"/>
          <w:spacing w:val="-2"/>
          <w:sz w:val="32"/>
          <w:szCs w:val="32"/>
          <w:lang w:val="en-US" w:eastAsia="zh-CN"/>
        </w:rPr>
        <w:t>根据质量和服务均能满足采购文件实质性响应要求，拥有中国银行保险监督管理委员会颁发的《经营保险业务许可证》。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DACB5"/>
    <w:multiLevelType w:val="singleLevel"/>
    <w:tmpl w:val="725DAC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7ADB"/>
    <w:rsid w:val="02EE6DC3"/>
    <w:rsid w:val="030363C8"/>
    <w:rsid w:val="03D40168"/>
    <w:rsid w:val="05155383"/>
    <w:rsid w:val="0519168B"/>
    <w:rsid w:val="056306D1"/>
    <w:rsid w:val="056E7596"/>
    <w:rsid w:val="07F744F4"/>
    <w:rsid w:val="0A067C23"/>
    <w:rsid w:val="0A7C0386"/>
    <w:rsid w:val="0B4725FB"/>
    <w:rsid w:val="0B4D1C35"/>
    <w:rsid w:val="0C143363"/>
    <w:rsid w:val="0D23204A"/>
    <w:rsid w:val="0E7D60DB"/>
    <w:rsid w:val="0F4C0432"/>
    <w:rsid w:val="10292DBB"/>
    <w:rsid w:val="113941F8"/>
    <w:rsid w:val="142D294B"/>
    <w:rsid w:val="15277A0A"/>
    <w:rsid w:val="169D61EC"/>
    <w:rsid w:val="1704286B"/>
    <w:rsid w:val="1B234034"/>
    <w:rsid w:val="1CF4154A"/>
    <w:rsid w:val="1FCF4767"/>
    <w:rsid w:val="23BA2FCE"/>
    <w:rsid w:val="26D0515A"/>
    <w:rsid w:val="29C155A5"/>
    <w:rsid w:val="2A023F13"/>
    <w:rsid w:val="2AB82C22"/>
    <w:rsid w:val="2AD92954"/>
    <w:rsid w:val="2BB073E2"/>
    <w:rsid w:val="2BC52431"/>
    <w:rsid w:val="2C8D7F9B"/>
    <w:rsid w:val="2DC236AC"/>
    <w:rsid w:val="2F1C2316"/>
    <w:rsid w:val="30D6667E"/>
    <w:rsid w:val="319C5F56"/>
    <w:rsid w:val="31D673CC"/>
    <w:rsid w:val="340B462D"/>
    <w:rsid w:val="376E7DB7"/>
    <w:rsid w:val="3873745C"/>
    <w:rsid w:val="394F33CF"/>
    <w:rsid w:val="3A4324FE"/>
    <w:rsid w:val="3B07458D"/>
    <w:rsid w:val="3B4203B4"/>
    <w:rsid w:val="3C4F4FF4"/>
    <w:rsid w:val="3C983156"/>
    <w:rsid w:val="3CF823E5"/>
    <w:rsid w:val="3D2C75C7"/>
    <w:rsid w:val="3F960460"/>
    <w:rsid w:val="405F50D4"/>
    <w:rsid w:val="409549B8"/>
    <w:rsid w:val="40AF3223"/>
    <w:rsid w:val="41976195"/>
    <w:rsid w:val="42D7512B"/>
    <w:rsid w:val="430F32E3"/>
    <w:rsid w:val="431C1A03"/>
    <w:rsid w:val="434F1DBB"/>
    <w:rsid w:val="43723061"/>
    <w:rsid w:val="438465FB"/>
    <w:rsid w:val="43BE5C29"/>
    <w:rsid w:val="453753BA"/>
    <w:rsid w:val="47B04282"/>
    <w:rsid w:val="4826568B"/>
    <w:rsid w:val="497438FC"/>
    <w:rsid w:val="4A472A4D"/>
    <w:rsid w:val="4B9A00EE"/>
    <w:rsid w:val="4D380F12"/>
    <w:rsid w:val="4F3D06E7"/>
    <w:rsid w:val="510203A1"/>
    <w:rsid w:val="51CF589C"/>
    <w:rsid w:val="525F2497"/>
    <w:rsid w:val="53B215A8"/>
    <w:rsid w:val="54702C9F"/>
    <w:rsid w:val="54793DAC"/>
    <w:rsid w:val="57052872"/>
    <w:rsid w:val="57C174A6"/>
    <w:rsid w:val="58E02FB3"/>
    <w:rsid w:val="5976403A"/>
    <w:rsid w:val="5D196D0A"/>
    <w:rsid w:val="600D49C4"/>
    <w:rsid w:val="60AF066E"/>
    <w:rsid w:val="61C018D5"/>
    <w:rsid w:val="64792A88"/>
    <w:rsid w:val="66F04B6C"/>
    <w:rsid w:val="66F53BB0"/>
    <w:rsid w:val="67F679A7"/>
    <w:rsid w:val="69355184"/>
    <w:rsid w:val="699F42C0"/>
    <w:rsid w:val="6A2065BC"/>
    <w:rsid w:val="6A6F77D4"/>
    <w:rsid w:val="6B253BCA"/>
    <w:rsid w:val="6BAF4754"/>
    <w:rsid w:val="6D6E0F14"/>
    <w:rsid w:val="6DB225FE"/>
    <w:rsid w:val="71FF049F"/>
    <w:rsid w:val="76A146D8"/>
    <w:rsid w:val="774F631E"/>
    <w:rsid w:val="78A61F54"/>
    <w:rsid w:val="7A33365A"/>
    <w:rsid w:val="7A547BEC"/>
    <w:rsid w:val="7A7E3D3D"/>
    <w:rsid w:val="7C14555F"/>
    <w:rsid w:val="7CAF0326"/>
    <w:rsid w:val="7D981E9A"/>
    <w:rsid w:val="7DC61000"/>
    <w:rsid w:val="7F862F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2"/>
      <w:ind w:left="120"/>
    </w:pPr>
    <w:rPr>
      <w:rFonts w:ascii="微软雅黑" w:hAnsi="微软雅黑" w:eastAsia="微软雅黑" w:cs="微软雅黑"/>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19"/>
      <w:ind w:left="132"/>
    </w:pPr>
    <w:rPr>
      <w:rFonts w:ascii="宋体" w:hAnsi="宋体" w:eastAsia="宋体" w:cs="宋体"/>
      <w:sz w:val="36"/>
      <w:szCs w:val="36"/>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style01"/>
    <w:basedOn w:val="9"/>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2253</Characters>
  <Lines>0</Lines>
  <Paragraphs>0</Paragraphs>
  <TotalTime>0</TotalTime>
  <ScaleCrop>false</ScaleCrop>
  <LinksUpToDate>false</LinksUpToDate>
  <CharactersWithSpaces>2269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王伦</dc:creator>
  <cp:lastModifiedBy>陈天舒</cp:lastModifiedBy>
  <cp:lastPrinted>2025-04-14T02:33:00Z</cp:lastPrinted>
  <dcterms:modified xsi:type="dcterms:W3CDTF">2026-06-16T05:17:37Z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eyJoZGlkIjoiZDE0OWY5YTZiOGYzNTM4ODlkOGMzYzFhYTUwMjc1NWUiLCJ1c2VySWQiOiI2MjUwNTk0OTAifQ==</vt:lpwstr>
  </property>
  <property fmtid="{D5CDD505-2E9C-101B-9397-08002B2CF9AE}" pid="4" name="ICV">
    <vt:lpwstr>ACD846C537D54A2D935C3CAF7EAC7015_12</vt:lpwstr>
  </property>
</Properties>
</file>