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采购需求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预计合同年限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sz w:val="28"/>
          <w:szCs w:val="28"/>
          <w:lang w:val="en-US"/>
        </w:rPr>
      </w:pPr>
      <w:r>
        <w:rPr>
          <w:rFonts w:hint="eastAsia" w:ascii="仿宋_GB2312" w:hAnsi="Calibri" w:eastAsia="仿宋_GB2312" w:cs="仿宋_GB2312"/>
          <w:kern w:val="2"/>
          <w:sz w:val="28"/>
          <w:szCs w:val="28"/>
          <w:lang w:val="en-US" w:eastAsia="zh-CN" w:bidi="ar"/>
        </w:rPr>
        <w:t>拟签年限为两年，最终以采购实际谈判情况为准。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功能目标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保障国航股份西南分公司各单位车辆租赁服务需求。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需执行的标准规范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租车公司需具备国家认可在有效期内的《营业执照》、《道路运输经营许可证》、《车辆道路运输证》、《车辆保险》、《经营性道路旅客运输驾驶员从业资格》。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采购产品具体要求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此次车座划分为19/38/48。19指8座至19座的车型、38指20座至39座的车型、48指40座及以上车座数的车型，分别对应《机动车运行安全技术条件》（GB7258-2017）规定中的二类客车（8座≤座位数≤19座），三类客车（20座≤座位数≤39座），四类客车（座位数≥40座）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以下为单年租车里程预估。</w:t>
      </w:r>
    </w:p>
    <w:tbl>
      <w:tblPr>
        <w:tblStyle w:val="2"/>
        <w:tblW w:w="81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"/>
        <w:gridCol w:w="2457"/>
        <w:gridCol w:w="1911"/>
        <w:gridCol w:w="28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车辆等级</w:t>
            </w:r>
          </w:p>
        </w:tc>
        <w:tc>
          <w:tcPr>
            <w:tcW w:w="19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车座</w:t>
            </w:r>
          </w:p>
        </w:tc>
        <w:tc>
          <w:tcPr>
            <w:tcW w:w="28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预计公里数/年（公里）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2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高一级（或以上）</w:t>
            </w:r>
          </w:p>
        </w:tc>
        <w:tc>
          <w:tcPr>
            <w:tcW w:w="19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19</w:t>
            </w:r>
          </w:p>
        </w:tc>
        <w:tc>
          <w:tcPr>
            <w:tcW w:w="28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6600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高一级（或以上）</w:t>
            </w:r>
          </w:p>
        </w:tc>
        <w:tc>
          <w:tcPr>
            <w:tcW w:w="19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38</w:t>
            </w:r>
          </w:p>
        </w:tc>
        <w:tc>
          <w:tcPr>
            <w:tcW w:w="28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  <w:lang w:val="en-US" w:eastAsia="zh-CN" w:bidi="ar"/>
              </w:rPr>
              <w:t>2600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  <w:jc w:val="center"/>
        </w:trPr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高一级（或以上）</w:t>
            </w:r>
          </w:p>
        </w:tc>
        <w:tc>
          <w:tcPr>
            <w:tcW w:w="19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lang w:val="en-US" w:eastAsia="zh-CN" w:bidi="ar"/>
              </w:rPr>
              <w:t>48</w:t>
            </w:r>
          </w:p>
        </w:tc>
        <w:tc>
          <w:tcPr>
            <w:tcW w:w="28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8"/>
                <w:szCs w:val="28"/>
                <w:lang w:val="en-US" w:eastAsia="zh-CN" w:bidi="ar"/>
              </w:rPr>
              <w:t>3200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采购实施时间及交付地点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交付或实施地点：国航股份西南分公司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指定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交付或实施时间：合同起始日起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服务标准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（一）车内免费服务配备包含但不限于：手机充电；常用药品（创可贴、晕车药等）；雨伞、纸巾等。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（二）车辆租赁过程中，产生的过路费、停车费、车辆维护等车辆相关费用及驾驶员误餐费、住宿费等人员相关费用由租车公司承担，我司不承担除车辆租赁费用外的其它任何费用。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验收标准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1.车辆必须证照齐全，年检合格，保险齐全。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2.租车公司驾驶员需提供相应车辆驾驶证件、无重大责任事故记录证明。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3.租车公司需及时响应车辆租赁需求。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4.租车公司需遵守我公司《环保责任约定书》约定内容且保证行车安全，遵守交通规则，文明行车，安全、按时且按点完成租车任务。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5.补充标准（不作强行要求）：特殊保障任务时，可优先选派党员或我方指定的驾驶员进行保障。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outlineLvl w:val="9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其他</w:t>
      </w:r>
    </w:p>
    <w:p>
      <w:pPr>
        <w:numPr>
          <w:ilvl w:val="0"/>
          <w:numId w:val="0"/>
        </w:numPr>
        <w:spacing w:line="336" w:lineRule="auto"/>
        <w:ind w:firstLine="560" w:firstLineChars="200"/>
        <w:outlineLvl w:val="9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采购1家供应商。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B3E91A"/>
    <w:multiLevelType w:val="singleLevel"/>
    <w:tmpl w:val="88B3E9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678FD"/>
    <w:rsid w:val="111678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2026-06-01T03:25:00Z</dcterms:created>
  <dc:creator>刘洋</dc:creator>
  <cp:lastModifiedBy>刘洋</cp:lastModifiedBy>
  <dcterms:modified xsi:type="dcterms:W3CDTF">2026-06-01T03:27:03Z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