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饭团（冷冻）采购项目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1.项目名称：上海中航航空食品有限公司饭团（冷冻）采购项目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采购需求</w:t>
      </w:r>
    </w:p>
    <w:p>
      <w:pPr>
        <w:pStyle w:val="2"/>
        <w:numPr>
          <w:ilvl w:val="0"/>
          <w:numId w:val="0"/>
        </w:numPr>
        <w:ind w:firstLine="640" w:firstLineChars="200"/>
        <w:rPr>
          <w:rFonts w:hint="eastAsia"/>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产品要求：</w:t>
      </w:r>
    </w:p>
    <w:tbl>
      <w:tblPr>
        <w:tblStyle w:val="5"/>
        <w:tblW w:w="10783" w:type="dxa"/>
        <w:tblInd w:w="-1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7"/>
        <w:gridCol w:w="1850"/>
        <w:gridCol w:w="1216"/>
        <w:gridCol w:w="834"/>
        <w:gridCol w:w="1300"/>
        <w:gridCol w:w="4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物料名称</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年预计用量</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咸蛋黄酥松手握粢饭团（白米）</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110g±5g/个</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60000</w:t>
            </w:r>
          </w:p>
        </w:tc>
        <w:tc>
          <w:tcPr>
            <w:tcW w:w="4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left="1050" w:hanging="1050" w:hangingChars="500"/>
              <w:jc w:val="both"/>
              <w:textAlignment w:val="center"/>
              <w:rPr>
                <w:rFonts w:hint="eastAsia"/>
                <w:lang w:val="en-US" w:eastAsia="zh-CN"/>
              </w:rPr>
            </w:pPr>
            <w:bookmarkStart w:id="0" w:name="OLE_LINK1"/>
            <w:r>
              <w:rPr>
                <w:rFonts w:hint="eastAsia"/>
                <w:lang w:val="en-US" w:eastAsia="zh-CN"/>
              </w:rPr>
              <w:t>储存方式：-18℃以下储存</w:t>
            </w:r>
          </w:p>
          <w:p>
            <w:pPr>
              <w:keepNext w:val="0"/>
              <w:keepLines w:val="0"/>
              <w:widowControl/>
              <w:suppressLineNumbers w:val="0"/>
              <w:ind w:left="1050" w:hanging="1050" w:hangingChars="500"/>
              <w:jc w:val="both"/>
              <w:textAlignment w:val="center"/>
              <w:rPr>
                <w:rFonts w:hint="eastAsia"/>
                <w:lang w:val="en-US" w:eastAsia="zh-CN"/>
              </w:rPr>
            </w:pPr>
            <w:r>
              <w:rPr>
                <w:rFonts w:hint="eastAsia"/>
                <w:lang w:val="en-US" w:eastAsia="zh-CN"/>
              </w:rPr>
              <w:t>包装方式：集装（建议10个/袋）、</w:t>
            </w:r>
          </w:p>
          <w:bookmarkEnd w:id="0"/>
          <w:p>
            <w:pPr>
              <w:keepNext w:val="0"/>
              <w:keepLines w:val="0"/>
              <w:widowControl/>
              <w:suppressLineNumbers w:val="0"/>
              <w:ind w:left="1050" w:hanging="1050" w:hangingChars="500"/>
              <w:jc w:val="both"/>
              <w:textAlignment w:val="center"/>
              <w:rPr>
                <w:rFonts w:hint="eastAsia"/>
                <w:lang w:val="en-US" w:eastAsia="zh-CN"/>
              </w:rPr>
            </w:pPr>
            <w:r>
              <w:rPr>
                <w:rFonts w:hint="eastAsia"/>
                <w:lang w:val="en-US" w:eastAsia="zh-CN"/>
              </w:rPr>
              <w:t>产品配比：主料白粢饭≤ 85%，辅料不得少于4种，需包含海苔片，咸蛋黄，鸡肉松和油条。</w:t>
            </w:r>
          </w:p>
          <w:p>
            <w:pPr>
              <w:keepNext w:val="0"/>
              <w:keepLines w:val="0"/>
              <w:widowControl/>
              <w:suppressLineNumbers w:val="0"/>
              <w:ind w:left="1050" w:hanging="1050" w:hangingChars="500"/>
              <w:jc w:val="both"/>
              <w:textAlignment w:val="center"/>
              <w:rPr>
                <w:rFonts w:hint="default"/>
                <w:lang w:val="en-US" w:eastAsia="zh-CN"/>
              </w:rPr>
            </w:pPr>
            <w:r>
              <w:rPr>
                <w:rFonts w:hint="eastAsia"/>
                <w:lang w:val="en-US" w:eastAsia="zh-CN"/>
              </w:rPr>
              <w:t>形状尺寸：建议外形为圆筒长条形。长度不超过13cm，宽度不超过5cm。</w:t>
            </w:r>
          </w:p>
          <w:p>
            <w:pPr>
              <w:keepNext w:val="0"/>
              <w:keepLines w:val="0"/>
              <w:widowControl/>
              <w:suppressLineNumbers w:val="0"/>
              <w:ind w:left="1050" w:hanging="1050" w:hangingChars="500"/>
              <w:jc w:val="both"/>
              <w:textAlignment w:val="center"/>
              <w:rPr>
                <w:rFonts w:hint="eastAsia"/>
                <w:lang w:val="en-US" w:eastAsia="zh-CN"/>
              </w:rPr>
            </w:pPr>
            <w:r>
              <w:rPr>
                <w:rFonts w:hint="eastAsia"/>
                <w:lang w:val="en-US" w:eastAsia="zh-CN"/>
              </w:rPr>
              <w:t>其他要求：1.包装完好无破损、漏馅、受潮，饭团外形规整。</w:t>
            </w:r>
          </w:p>
          <w:p>
            <w:pPr>
              <w:keepNext w:val="0"/>
              <w:keepLines w:val="0"/>
              <w:widowControl/>
              <w:suppressLineNumbers w:val="0"/>
              <w:ind w:left="1050" w:leftChars="500" w:firstLine="0" w:firstLineChars="0"/>
              <w:jc w:val="both"/>
              <w:textAlignment w:val="center"/>
              <w:rPr>
                <w:rFonts w:hint="eastAsia"/>
                <w:lang w:val="en-US" w:eastAsia="zh-CN"/>
              </w:rPr>
            </w:pPr>
            <w:r>
              <w:rPr>
                <w:rFonts w:hint="eastAsia"/>
                <w:lang w:val="en-US" w:eastAsia="zh-CN"/>
              </w:rPr>
              <w:t>2.米饭软硬适中、颗粒分明，无夹生、结块、发酸、霉变、异味，无可见杂质、异物。</w:t>
            </w:r>
          </w:p>
          <w:p>
            <w:pPr>
              <w:keepNext w:val="0"/>
              <w:keepLines w:val="0"/>
              <w:widowControl/>
              <w:suppressLineNumbers w:val="0"/>
              <w:ind w:left="1050" w:leftChars="500" w:firstLine="0" w:firstLineChars="0"/>
              <w:jc w:val="both"/>
              <w:textAlignment w:val="center"/>
              <w:rPr>
                <w:rFonts w:hint="default"/>
                <w:lang w:val="en-US" w:eastAsia="zh-CN"/>
              </w:rPr>
            </w:pPr>
            <w:r>
              <w:rPr>
                <w:rFonts w:hint="eastAsia"/>
                <w:lang w:val="en-US" w:eastAsia="zh-CN"/>
              </w:rPr>
              <w:t>3.咸蛋黄无硬芯，无结团、受潮现象。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咸蛋黄酥松手握粢饭团（乌米）</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sz w:val="22"/>
                <w:szCs w:val="22"/>
                <w:u w:val="none"/>
                <w:lang w:val="en-US" w:eastAsia="zh-CN"/>
              </w:rPr>
              <w:t>110g±5g/个</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sz w:val="22"/>
                <w:szCs w:val="22"/>
                <w:u w:val="none"/>
                <w:lang w:val="en-US" w:eastAsia="zh-CN"/>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60000</w:t>
            </w:r>
          </w:p>
        </w:tc>
        <w:tc>
          <w:tcPr>
            <w:tcW w:w="4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left="1050" w:hanging="1050" w:hangingChars="500"/>
              <w:jc w:val="both"/>
              <w:textAlignment w:val="center"/>
              <w:rPr>
                <w:rFonts w:hint="eastAsia"/>
                <w:lang w:val="en-US" w:eastAsia="zh-CN"/>
              </w:rPr>
            </w:pPr>
            <w:r>
              <w:rPr>
                <w:rFonts w:hint="eastAsia"/>
                <w:lang w:val="en-US" w:eastAsia="zh-CN"/>
              </w:rPr>
              <w:t>储存方式：-18℃以下储存</w:t>
            </w:r>
          </w:p>
          <w:p>
            <w:pPr>
              <w:keepNext w:val="0"/>
              <w:keepLines w:val="0"/>
              <w:widowControl/>
              <w:suppressLineNumbers w:val="0"/>
              <w:ind w:left="1050" w:hanging="1050" w:hangingChars="500"/>
              <w:jc w:val="both"/>
              <w:textAlignment w:val="center"/>
              <w:rPr>
                <w:rFonts w:hint="eastAsia"/>
                <w:lang w:val="en-US" w:eastAsia="zh-CN"/>
              </w:rPr>
            </w:pPr>
            <w:r>
              <w:rPr>
                <w:rFonts w:hint="eastAsia"/>
                <w:lang w:val="en-US" w:eastAsia="zh-CN"/>
              </w:rPr>
              <w:t>包装方式：集装（建议10个/袋）</w:t>
            </w:r>
          </w:p>
          <w:p>
            <w:pPr>
              <w:keepNext w:val="0"/>
              <w:keepLines w:val="0"/>
              <w:widowControl/>
              <w:suppressLineNumbers w:val="0"/>
              <w:ind w:left="1050" w:hanging="1050" w:hangingChars="500"/>
              <w:jc w:val="both"/>
              <w:textAlignment w:val="center"/>
              <w:rPr>
                <w:rFonts w:hint="eastAsia"/>
                <w:lang w:val="en-US" w:eastAsia="zh-CN"/>
              </w:rPr>
            </w:pPr>
            <w:r>
              <w:rPr>
                <w:rFonts w:hint="eastAsia"/>
                <w:lang w:val="en-US" w:eastAsia="zh-CN"/>
              </w:rPr>
              <w:t>产品配比：主料乌米粢饭≤ 85%，辅料不得少于4种，需包含海苔片，咸蛋黄，鸡肉松和油条。</w:t>
            </w:r>
          </w:p>
          <w:p>
            <w:pPr>
              <w:keepNext w:val="0"/>
              <w:keepLines w:val="0"/>
              <w:widowControl/>
              <w:suppressLineNumbers w:val="0"/>
              <w:ind w:left="1050" w:hanging="1050" w:hangingChars="500"/>
              <w:jc w:val="both"/>
              <w:textAlignment w:val="center"/>
              <w:rPr>
                <w:rFonts w:hint="default"/>
                <w:lang w:val="en-US" w:eastAsia="zh-CN"/>
              </w:rPr>
            </w:pPr>
            <w:r>
              <w:rPr>
                <w:rFonts w:hint="eastAsia"/>
                <w:lang w:val="en-US" w:eastAsia="zh-CN"/>
              </w:rPr>
              <w:t>形状尺寸：建议外形为圆筒长条形。长度不超过13cm，宽度不超过5cm。</w:t>
            </w:r>
          </w:p>
          <w:p>
            <w:pPr>
              <w:keepNext w:val="0"/>
              <w:keepLines w:val="0"/>
              <w:widowControl/>
              <w:suppressLineNumbers w:val="0"/>
              <w:ind w:left="1050" w:hanging="1050" w:hangingChars="500"/>
              <w:jc w:val="both"/>
              <w:textAlignment w:val="center"/>
              <w:rPr>
                <w:rFonts w:hint="eastAsia"/>
                <w:lang w:val="en-US" w:eastAsia="zh-CN"/>
              </w:rPr>
            </w:pPr>
            <w:r>
              <w:rPr>
                <w:rFonts w:hint="eastAsia"/>
                <w:lang w:val="en-US" w:eastAsia="zh-CN"/>
              </w:rPr>
              <w:t>其他要求：1.包装完好无破损、漏馅、受潮，饭团外形规整。</w:t>
            </w:r>
          </w:p>
          <w:p>
            <w:pPr>
              <w:keepNext w:val="0"/>
              <w:keepLines w:val="0"/>
              <w:widowControl/>
              <w:suppressLineNumbers w:val="0"/>
              <w:ind w:left="1050" w:leftChars="500" w:firstLine="0" w:firstLineChars="0"/>
              <w:jc w:val="both"/>
              <w:textAlignment w:val="center"/>
              <w:rPr>
                <w:rFonts w:hint="eastAsia"/>
                <w:lang w:val="en-US" w:eastAsia="zh-CN"/>
              </w:rPr>
            </w:pPr>
            <w:r>
              <w:rPr>
                <w:rFonts w:hint="eastAsia"/>
                <w:lang w:val="en-US" w:eastAsia="zh-CN"/>
              </w:rPr>
              <w:t>2.乌米无陈味、霉点，不粗糙硌牙，无夹生、结块、发酸、异味、无可见杂质、异物。</w:t>
            </w:r>
          </w:p>
          <w:p>
            <w:pPr>
              <w:keepNext w:val="0"/>
              <w:keepLines w:val="0"/>
              <w:widowControl/>
              <w:suppressLineNumbers w:val="0"/>
              <w:ind w:left="1050" w:leftChars="500" w:firstLine="0" w:firstLineChars="0"/>
              <w:jc w:val="both"/>
              <w:textAlignment w:val="center"/>
              <w:rPr>
                <w:rFonts w:hint="default"/>
                <w:lang w:val="en-US" w:eastAsia="zh-CN"/>
              </w:rPr>
            </w:pPr>
            <w:r>
              <w:rPr>
                <w:rFonts w:hint="eastAsia"/>
                <w:lang w:val="en-US" w:eastAsia="zh-CN"/>
              </w:rPr>
              <w:t>3.咸蛋黄无硬芯，无结团、受潮现象。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执行标准：</w:t>
      </w:r>
      <w:r>
        <w:rPr>
          <w:rFonts w:hint="eastAsia" w:ascii="仿宋_GB2312" w:hAnsi="仿宋_GB2312" w:eastAsia="仿宋_GB2312" w:cs="仿宋_GB2312"/>
          <w:b w:val="0"/>
          <w:bCs w:val="0"/>
          <w:color w:val="auto"/>
          <w:kern w:val="0"/>
          <w:sz w:val="32"/>
          <w:szCs w:val="32"/>
          <w:highlight w:val="none"/>
          <w:lang w:val="en-US" w:eastAsia="zh-CN"/>
        </w:rPr>
        <w:t>产品符合GB19295-2021《食品安全国家标准 速冻面米与调制食品》及《中华人民共和国食品安全法》、《中华人民共和国产品质量法》等相关国家法律规定。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rPr>
        <w:t>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shd w:val="clear"/>
        <w:kinsoku/>
        <w:wordWrap/>
        <w:overflowPunct/>
        <w:topLinePunct w:val="0"/>
        <w:autoSpaceDE/>
        <w:autoSpaceDN/>
        <w:bidi w:val="0"/>
        <w:adjustRightInd/>
        <w:snapToGrid/>
        <w:spacing w:line="336" w:lineRule="auto"/>
        <w:ind w:left="3196" w:leftChars="760" w:right="0" w:rightChars="0" w:hanging="1600" w:hangingChars="500"/>
        <w:jc w:val="left"/>
        <w:textAlignment w:val="auto"/>
        <w:outlineLvl w:val="9"/>
        <w:rPr>
          <w:rFonts w:hint="eastAsia"/>
          <w:lang w:val="en-US" w:eastAsia="zh-CN"/>
        </w:rPr>
      </w:pPr>
      <w:r>
        <w:rPr>
          <w:rFonts w:hint="eastAsia" w:ascii="仿宋_GB2312" w:hAnsi="仿宋_GB2312" w:eastAsia="仿宋_GB2312" w:cs="仿宋_GB2312"/>
          <w:color w:val="auto"/>
          <w:kern w:val="0"/>
          <w:sz w:val="32"/>
          <w:szCs w:val="32"/>
          <w:highlight w:val="none"/>
          <w:lang w:val="en-US" w:eastAsia="zh-CN"/>
        </w:rPr>
        <w:t>首批订单：甲方每个使用单位发出的第一份订单为首批订单。首批订单交货周期为首批订单下单后的</w:t>
      </w:r>
      <w:r>
        <w:rPr>
          <w:rFonts w:hint="eastAsia" w:ascii="仿宋_GB2312" w:hAnsi="仿宋_GB2312" w:eastAsia="仿宋_GB2312" w:cs="仿宋_GB2312"/>
          <w:color w:val="auto"/>
          <w:kern w:val="0"/>
          <w:sz w:val="32"/>
          <w:szCs w:val="32"/>
          <w:highlight w:val="none"/>
          <w:shd w:val="clear"/>
          <w:lang w:val="en-US" w:eastAsia="zh-CN"/>
        </w:rPr>
        <w:t>15天内（含15天）</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rPr>
        <w:t>订单</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（五</w:t>
      </w:r>
      <w:r>
        <w:rPr>
          <w:rFonts w:hint="eastAsia" w:ascii="楷体" w:hAnsi="楷体" w:eastAsia="楷体" w:cs="楷体"/>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w:t>
      </w:r>
      <w:r>
        <w:rPr>
          <w:rFonts w:hint="eastAsia" w:ascii="仿宋_GB2312" w:hAnsi="仿宋_GB2312" w:eastAsia="仿宋_GB2312" w:cs="仿宋_GB2312"/>
          <w:color w:val="auto"/>
          <w:kern w:val="0"/>
          <w:sz w:val="32"/>
          <w:szCs w:val="32"/>
          <w:highlight w:val="none"/>
          <w:lang w:val="en-US" w:eastAsia="zh-CN"/>
        </w:rPr>
        <w:t>保质期不得少于总保质期的三分之二）。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6.外购的冷冻食品在收货时，应冻硬，且无解冻迹象，表面温度低于零下4度。</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8.产品生产过程中需使用金属探测仪、X光机等有效金属检测工具对产品进行检测，提供生产线检测过程照片或金属检测工具的发票或资产入账卡片等证明材料。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（六）费用承担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lang w:val="en-US" w:eastAsia="zh-CN"/>
        </w:rPr>
        <w:t>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（八）</w:t>
      </w:r>
      <w:r>
        <w:rPr>
          <w:rFonts w:hint="eastAsia" w:ascii="仿宋_GB2312" w:hAnsi="仿宋_GB2312" w:eastAsia="仿宋_GB2312" w:cs="仿宋_GB2312"/>
          <w:color w:val="auto"/>
          <w:kern w:val="0"/>
          <w:sz w:val="32"/>
          <w:szCs w:val="32"/>
          <w:highlight w:val="none"/>
          <w:lang w:val="en-US" w:eastAsia="zh-CN"/>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营业执照</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w:t>
      </w:r>
      <w:bookmarkStart w:id="1" w:name="OLE_LINK2"/>
      <w:r>
        <w:rPr>
          <w:rFonts w:hint="eastAsia" w:ascii="仿宋_GB2312" w:hAnsi="仿宋_GB2312" w:eastAsia="仿宋_GB2312" w:cs="仿宋_GB2312"/>
          <w:color w:val="auto"/>
          <w:kern w:val="0"/>
          <w:sz w:val="32"/>
          <w:szCs w:val="32"/>
          <w:highlight w:val="none"/>
          <w:lang w:val="en-US" w:eastAsia="zh-CN"/>
        </w:rPr>
        <w:t>若响应方为直接生产厂家，需按要求提供以下资质文件：</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1.食品生产许可证及明细页；</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2.食品经营许可证及明细页或仅销售预包装食品经营者备案信息表或符合当地市场监督管理局要求的专业技术及行业资质证明资料。</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若响应方为产品经销商，需按要求提供以下资质文件：</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1.响应方的食品经营许可证及明细页或仅销售预包装食品经营者备案信息表或符合当地市场监督管理局要求的专业技术及行业资质证明资料；</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2.若所提供的样品为非进口产品，需额外提供该产品生产厂家的营业执照、食品生产许可证及明细页；</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3.若所提供的样品为进口产品，需额外提供中华人民共和国入境货物检验检疫证明及中华人民共和国海关进口货物报关单，报关单据涉及的产品需与参与本项目提供的产品信息一致。</w:t>
      </w:r>
      <w:bookmarkEnd w:id="1"/>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071269"/>
    <w:multiLevelType w:val="singleLevel"/>
    <w:tmpl w:val="CC0712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0B601B"/>
    <w:rsid w:val="001348E1"/>
    <w:rsid w:val="001C5795"/>
    <w:rsid w:val="001D5549"/>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6D75230"/>
    <w:rsid w:val="07E81920"/>
    <w:rsid w:val="09B36A08"/>
    <w:rsid w:val="09DF0897"/>
    <w:rsid w:val="09E65969"/>
    <w:rsid w:val="09EE4EC2"/>
    <w:rsid w:val="0C4F6048"/>
    <w:rsid w:val="0C7507AD"/>
    <w:rsid w:val="0EA84D54"/>
    <w:rsid w:val="0FC47476"/>
    <w:rsid w:val="111A69F7"/>
    <w:rsid w:val="115E0096"/>
    <w:rsid w:val="15200109"/>
    <w:rsid w:val="15F235ED"/>
    <w:rsid w:val="1771620B"/>
    <w:rsid w:val="18C54A7F"/>
    <w:rsid w:val="1A22377B"/>
    <w:rsid w:val="1AB5780F"/>
    <w:rsid w:val="1BE52336"/>
    <w:rsid w:val="1C642FDF"/>
    <w:rsid w:val="1CA16C6E"/>
    <w:rsid w:val="1EE02F06"/>
    <w:rsid w:val="1F33382F"/>
    <w:rsid w:val="1F953751"/>
    <w:rsid w:val="1F9863EC"/>
    <w:rsid w:val="1FD426E8"/>
    <w:rsid w:val="1FD5739E"/>
    <w:rsid w:val="1FE41485"/>
    <w:rsid w:val="1FFD4A15"/>
    <w:rsid w:val="200C3AC3"/>
    <w:rsid w:val="202E6849"/>
    <w:rsid w:val="213C0BFB"/>
    <w:rsid w:val="23040AFF"/>
    <w:rsid w:val="2496184F"/>
    <w:rsid w:val="24B136B0"/>
    <w:rsid w:val="25C40F57"/>
    <w:rsid w:val="27013439"/>
    <w:rsid w:val="2D0C28EF"/>
    <w:rsid w:val="2D491274"/>
    <w:rsid w:val="2DCC3795"/>
    <w:rsid w:val="2E8D4DBB"/>
    <w:rsid w:val="2F7B3493"/>
    <w:rsid w:val="325558B1"/>
    <w:rsid w:val="337217CA"/>
    <w:rsid w:val="36B003A7"/>
    <w:rsid w:val="36B829B6"/>
    <w:rsid w:val="38187DB8"/>
    <w:rsid w:val="38533E46"/>
    <w:rsid w:val="3942657F"/>
    <w:rsid w:val="39FD755F"/>
    <w:rsid w:val="3A9C02FB"/>
    <w:rsid w:val="3C826AF4"/>
    <w:rsid w:val="3E117259"/>
    <w:rsid w:val="3E1306DF"/>
    <w:rsid w:val="3EAC0646"/>
    <w:rsid w:val="3EE65CF2"/>
    <w:rsid w:val="407F7CE8"/>
    <w:rsid w:val="4149225A"/>
    <w:rsid w:val="42D061DF"/>
    <w:rsid w:val="430D0AC4"/>
    <w:rsid w:val="430D5565"/>
    <w:rsid w:val="43681F8F"/>
    <w:rsid w:val="448470CE"/>
    <w:rsid w:val="451F440F"/>
    <w:rsid w:val="457505AF"/>
    <w:rsid w:val="4579779B"/>
    <w:rsid w:val="469B45C6"/>
    <w:rsid w:val="470C7C2B"/>
    <w:rsid w:val="478C2A20"/>
    <w:rsid w:val="47BB05AE"/>
    <w:rsid w:val="4812509E"/>
    <w:rsid w:val="48783B2B"/>
    <w:rsid w:val="48FB6A76"/>
    <w:rsid w:val="492364E9"/>
    <w:rsid w:val="49E00951"/>
    <w:rsid w:val="4A6608F4"/>
    <w:rsid w:val="4B8B5463"/>
    <w:rsid w:val="4EA46D84"/>
    <w:rsid w:val="4EC75654"/>
    <w:rsid w:val="4EEB44B2"/>
    <w:rsid w:val="4F7677C2"/>
    <w:rsid w:val="53D20D42"/>
    <w:rsid w:val="559C360E"/>
    <w:rsid w:val="55DA622A"/>
    <w:rsid w:val="56131777"/>
    <w:rsid w:val="56857A4F"/>
    <w:rsid w:val="56F56017"/>
    <w:rsid w:val="571C44BC"/>
    <w:rsid w:val="572E75A3"/>
    <w:rsid w:val="58064885"/>
    <w:rsid w:val="58FE50EC"/>
    <w:rsid w:val="59B10404"/>
    <w:rsid w:val="5A3A3141"/>
    <w:rsid w:val="5DFD1613"/>
    <w:rsid w:val="5ED335AE"/>
    <w:rsid w:val="5F4E57BB"/>
    <w:rsid w:val="5FEB5546"/>
    <w:rsid w:val="61056D80"/>
    <w:rsid w:val="63326DAF"/>
    <w:rsid w:val="63FC62F7"/>
    <w:rsid w:val="64F8544A"/>
    <w:rsid w:val="654F0361"/>
    <w:rsid w:val="655D07E9"/>
    <w:rsid w:val="66105589"/>
    <w:rsid w:val="666E4B24"/>
    <w:rsid w:val="673F191F"/>
    <w:rsid w:val="67740CD2"/>
    <w:rsid w:val="68A23229"/>
    <w:rsid w:val="69FB1B10"/>
    <w:rsid w:val="6B7C2573"/>
    <w:rsid w:val="6D872ADE"/>
    <w:rsid w:val="6EF225A4"/>
    <w:rsid w:val="70931388"/>
    <w:rsid w:val="710742DB"/>
    <w:rsid w:val="724B4A8D"/>
    <w:rsid w:val="74231EA2"/>
    <w:rsid w:val="74EE5AF5"/>
    <w:rsid w:val="75584BCE"/>
    <w:rsid w:val="75714608"/>
    <w:rsid w:val="75745AFF"/>
    <w:rsid w:val="758E0112"/>
    <w:rsid w:val="773105A5"/>
    <w:rsid w:val="77452842"/>
    <w:rsid w:val="79B32762"/>
    <w:rsid w:val="7C6B365F"/>
    <w:rsid w:val="7CF07BD6"/>
    <w:rsid w:val="7ED40945"/>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 w:type="character" w:customStyle="1" w:styleId="12">
    <w:name w:val="font21"/>
    <w:basedOn w:val="6"/>
    <w:qFormat/>
    <w:uiPriority w:val="0"/>
    <w:rPr>
      <w:rFonts w:hint="eastAsia" w:ascii="宋体" w:hAnsi="宋体" w:eastAsia="宋体" w:cs="宋体"/>
      <w:color w:val="FF0000"/>
      <w:sz w:val="20"/>
      <w:szCs w:val="20"/>
      <w:u w:val="none"/>
    </w:rPr>
  </w:style>
  <w:style w:type="character" w:customStyle="1" w:styleId="13">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103</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2026-06-03T03:45:00Z</cp:lastPrinted>
  <dcterms:modified xsi:type="dcterms:W3CDTF">2026-06-09T01:05:21Z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