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Style w:val="19"/>
          <w:rFonts w:hint="eastAsia" w:ascii="方正小标宋简体" w:hAnsi="方正小标宋简体" w:eastAsia="方正小标宋简体" w:cs="方正小标宋简体"/>
          <w:b w:val="0"/>
          <w:bCs/>
          <w:sz w:val="44"/>
          <w:szCs w:val="44"/>
          <w:lang w:val="en-US" w:eastAsia="zh-CN"/>
        </w:rPr>
      </w:pPr>
      <w:r>
        <w:rPr>
          <w:rStyle w:val="19"/>
          <w:rFonts w:hint="eastAsia" w:ascii="方正小标宋简体" w:hAnsi="方正小标宋简体" w:eastAsia="方正小标宋简体" w:cs="方正小标宋简体"/>
          <w:b w:val="0"/>
          <w:bCs/>
          <w:sz w:val="44"/>
          <w:szCs w:val="44"/>
          <w:lang w:val="en-US" w:eastAsia="zh-CN"/>
        </w:rPr>
        <w:t>上海中航航空食品有限公司</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Style w:val="19"/>
          <w:rFonts w:hint="eastAsia" w:ascii="方正小标宋简体" w:hAnsi="方正小标宋简体" w:eastAsia="方正小标宋简体" w:cs="方正小标宋简体"/>
          <w:sz w:val="44"/>
          <w:szCs w:val="44"/>
          <w:lang w:val="en-US" w:eastAsia="zh-CN"/>
        </w:rPr>
      </w:pPr>
      <w:r>
        <w:rPr>
          <w:rStyle w:val="19"/>
          <w:rFonts w:hint="eastAsia" w:ascii="方正小标宋简体" w:hAnsi="方正小标宋简体" w:eastAsia="方正小标宋简体" w:cs="方正小标宋简体"/>
          <w:b w:val="0"/>
          <w:bCs/>
          <w:sz w:val="44"/>
          <w:szCs w:val="44"/>
          <w:lang w:val="en-US" w:eastAsia="zh-CN"/>
        </w:rPr>
        <w:t>虹桥分公司空调设备采购项目采购需求</w:t>
      </w:r>
    </w:p>
    <w:p>
      <w:pPr>
        <w:ind w:firstLine="640" w:firstLineChars="200"/>
        <w:rPr>
          <w:rFonts w:hint="eastAsia" w:ascii="仿宋_GB2312" w:hAnsi="微软雅黑" w:eastAsia="仿宋_GB2312" w:cs="微软雅黑"/>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根据中翼航空投资有限公司标准采购管理规程和上海中航航空食品有限公司采购管理规定，该项目已具备采购条件。采购申请具体如下：</w:t>
      </w:r>
    </w:p>
    <w:p>
      <w:pPr>
        <w:pStyle w:val="13"/>
        <w:numPr>
          <w:ilvl w:val="0"/>
          <w:numId w:val="0"/>
        </w:numPr>
        <w:ind w:leftChars="0" w:firstLine="640" w:firstLineChars="200"/>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 xml:space="preserve">一、 </w:t>
      </w:r>
      <w:r>
        <w:rPr>
          <w:rFonts w:hint="eastAsia" w:ascii="黑体" w:hAnsi="黑体" w:eastAsia="黑体" w:cs="黑体"/>
          <w:color w:val="auto"/>
          <w:kern w:val="0"/>
          <w:sz w:val="32"/>
          <w:szCs w:val="32"/>
          <w:highlight w:val="none"/>
        </w:rPr>
        <w:t>项目概况</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1.项目背景：虹桥厂区生产的饼房包装间、冷却间、面点制作间区域无空调，</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导致制冷效能显著下降，难以维持房间适宜温度，</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为了保障房间温度稳定，保障生产环境与产品质量，</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需新增空调设备，通过调节房间温度，为设备稳定运行提供保障。</w:t>
      </w:r>
    </w:p>
    <w:p>
      <w:pPr>
        <w:spacing w:line="336" w:lineRule="auto"/>
        <w:ind w:firstLine="640" w:firstLineChars="200"/>
        <w:rPr>
          <w:rFonts w:ascii="仿宋_GB2312" w:hAnsi="微软雅黑" w:eastAsia="仿宋_GB2312" w:cs="微软雅黑"/>
          <w:color w:val="000000" w:themeColor="text1"/>
          <w:kern w:val="0"/>
          <w:sz w:val="32"/>
          <w:szCs w:val="32"/>
          <w14:textFill>
            <w14:solidFill>
              <w14:schemeClr w14:val="tx1"/>
            </w14:solidFill>
          </w14:textFill>
        </w:rPr>
      </w:pPr>
      <w:r>
        <w:rPr>
          <w:rFonts w:hint="eastAsia" w:ascii="仿宋_GB2312" w:hAnsi="微软雅黑" w:eastAsia="仿宋_GB2312" w:cs="微软雅黑"/>
          <w:color w:val="000000" w:themeColor="text1"/>
          <w:kern w:val="0"/>
          <w:sz w:val="32"/>
          <w:szCs w:val="32"/>
          <w14:textFill>
            <w14:solidFill>
              <w14:schemeClr w14:val="tx1"/>
            </w14:solidFill>
          </w14:textFill>
        </w:rPr>
        <w:t>2.项目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名称</w:t>
      </w:r>
      <w:r>
        <w:rPr>
          <w:rFonts w:hint="eastAsia" w:ascii="仿宋_GB2312" w:hAnsi="微软雅黑" w:eastAsia="仿宋_GB2312" w:cs="微软雅黑"/>
          <w:color w:val="000000" w:themeColor="text1"/>
          <w:kern w:val="0"/>
          <w:sz w:val="32"/>
          <w:szCs w:val="32"/>
          <w14:textFill>
            <w14:solidFill>
              <w14:schemeClr w14:val="tx1"/>
            </w14:solidFill>
          </w14:textFill>
        </w:rPr>
        <w:t>：上海中航航空食品有限公司</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虹桥分公司空调设备采购项目</w:t>
      </w:r>
    </w:p>
    <w:p>
      <w:pPr>
        <w:spacing w:line="336" w:lineRule="auto"/>
        <w:ind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3</w:t>
      </w:r>
      <w:r>
        <w:rPr>
          <w:rFonts w:hint="eastAsia" w:ascii="仿宋_GB2312" w:hAnsi="微软雅黑" w:eastAsia="仿宋_GB2312" w:cs="微软雅黑"/>
          <w:color w:val="000000" w:themeColor="text1"/>
          <w:kern w:val="0"/>
          <w:sz w:val="32"/>
          <w:szCs w:val="32"/>
          <w14:textFill>
            <w14:solidFill>
              <w14:schemeClr w14:val="tx1"/>
            </w14:solidFill>
          </w14:textFill>
        </w:rPr>
        <w:t>.合同期限：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一次性采购合同（设备到货、安装、试运行，验收合格后二年以上质保）</w:t>
      </w:r>
    </w:p>
    <w:p>
      <w:pPr>
        <w:spacing w:line="336" w:lineRule="auto"/>
        <w:ind w:firstLine="640" w:firstLineChars="200"/>
        <w:rPr>
          <w:rFonts w:hint="default" w:ascii="仿宋_GB2312" w:hAnsi="微软雅黑" w:eastAsia="仿宋_GB2312"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4</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.交付期限：</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自合同签订之日起60个工作日</w:t>
      </w:r>
    </w:p>
    <w:p>
      <w:pPr>
        <w:numPr>
          <w:ilvl w:val="0"/>
          <w:numId w:val="0"/>
        </w:numPr>
        <w:ind w:firstLine="640" w:firstLineChars="200"/>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5</w:t>
      </w:r>
      <w:r>
        <w:rPr>
          <w:rFonts w:hint="eastAsia" w:ascii="仿宋_GB2312" w:hAnsi="微软雅黑" w:eastAsia="仿宋_GB2312" w:cs="微软雅黑"/>
          <w:color w:val="000000" w:themeColor="text1"/>
          <w:kern w:val="0"/>
          <w:sz w:val="32"/>
          <w:szCs w:val="32"/>
          <w:highlight w:val="none"/>
          <w14:textFill>
            <w14:solidFill>
              <w14:schemeClr w14:val="tx1"/>
            </w14:solidFill>
          </w14:textFill>
        </w:rPr>
        <w:t>.付款方式：</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合同签订后</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30日内支付15%预付款，设备</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到货安装调试合格后支付45%，设备试运行三个月且</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验收合格并收到</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全额</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增值税专用发票后一个月内支付合同总价的</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35</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待质保期满且无任何质量问题30日内支付</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剩余的5%</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w:t>
      </w:r>
    </w:p>
    <w:p>
      <w:pPr>
        <w:spacing w:line="336" w:lineRule="auto"/>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.项目地点：</w:t>
      </w:r>
      <w:r>
        <w:rPr>
          <w:rFonts w:hint="eastAsia" w:ascii="仿宋_GB2312" w:hAnsi="仿宋_GB2312" w:eastAsia="仿宋_GB2312" w:cs="仿宋_GB2312"/>
          <w:color w:val="auto"/>
          <w:kern w:val="0"/>
          <w:sz w:val="32"/>
          <w:szCs w:val="32"/>
          <w:highlight w:val="none"/>
          <w:lang w:val="en-US" w:eastAsia="zh-CN"/>
        </w:rPr>
        <w:t>上海闵行区申达五路106号</w:t>
      </w:r>
      <w:r>
        <w:rPr>
          <w:rFonts w:hint="eastAsia" w:ascii="仿宋_GB2312" w:hAnsi="仿宋_GB2312" w:eastAsia="仿宋_GB2312" w:cs="仿宋_GB2312"/>
          <w:color w:val="auto"/>
          <w:kern w:val="0"/>
          <w:sz w:val="32"/>
          <w:szCs w:val="32"/>
          <w:highlight w:val="none"/>
          <w:lang w:eastAsia="zh-CN"/>
        </w:rPr>
        <w:t>。</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7.执行标准：</w:t>
      </w:r>
    </w:p>
    <w:tbl>
      <w:tblPr>
        <w:tblStyle w:val="10"/>
        <w:tblW w:w="8744"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1"/>
        <w:gridCol w:w="5430"/>
        <w:gridCol w:w="247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序号</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ind w:firstLine="560" w:firstLineChars="200"/>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14:textFill>
                  <w14:solidFill>
                    <w14:schemeClr w14:val="tx1"/>
                  </w14:solidFill>
                </w14:textFill>
              </w:rPr>
              <w:t>规范名称</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微软雅黑" w:eastAsia="仿宋_GB2312" w:cs="微软雅黑"/>
                <w:color w:val="000000" w:themeColor="text1"/>
                <w:kern w:val="0"/>
                <w:sz w:val="32"/>
                <w:szCs w:val="32"/>
                <w:highlight w:val="none"/>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编号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6"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1</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《多联式空调（热泵）机组能效限定值及能源效率等级》</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 21454-2021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2</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《转速可控型房间空气调节器能效限定值及能效等级》</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 21455-2013</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3</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微软雅黑" w:eastAsia="仿宋_GB2312" w:cs="微软雅黑"/>
                <w:color w:val="000000" w:themeColor="text1"/>
                <w:kern w:val="0"/>
                <w:sz w:val="21"/>
                <w:szCs w:val="21"/>
                <w:highlight w:val="none"/>
                <w14:textFill>
                  <w14:solidFill>
                    <w14:schemeClr w14:val="tx1"/>
                  </w14:solidFill>
                </w14:textFill>
              </w:rPr>
              <w:t>《房间空气调节器能效限定值及能效等级》</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 12021.3—2010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4</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《空调与制冷设备用无缝铜管》</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GB/T 17791-2017</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6"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5</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《通风与空调工程施工质量验收规范》</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 50243-2016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6</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《通风与空调工程施工规范》</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GB 50738-2011</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841" w:type="dxa"/>
            <w:noWrap w:val="0"/>
            <w:vAlign w:val="center"/>
          </w:tcPr>
          <w:p>
            <w:pPr>
              <w:keepNext w:val="0"/>
              <w:keepLines w:val="0"/>
              <w:pageBreakBefore w:val="0"/>
              <w:kinsoku/>
              <w:wordWrap/>
              <w:overflowPunct/>
              <w:topLinePunct w:val="0"/>
              <w:autoSpaceDE/>
              <w:autoSpaceDN/>
              <w:bidi w:val="0"/>
              <w:snapToGrid/>
              <w:spacing w:line="336" w:lineRule="auto"/>
              <w:jc w:val="center"/>
              <w:rPr>
                <w:rFonts w:hint="eastAsia" w:ascii="仿宋_GB2312" w:hAnsi="微软雅黑" w:eastAsia="仿宋_GB2312" w:cs="微软雅黑"/>
                <w:color w:val="000000" w:themeColor="text1"/>
                <w:kern w:val="0"/>
                <w:sz w:val="28"/>
                <w:szCs w:val="28"/>
                <w:highlight w:val="none"/>
                <w:lang w:val="en-US" w:eastAsia="zh-CN" w:bidi="ar-SA"/>
                <w14:textFill>
                  <w14:solidFill>
                    <w14:schemeClr w14:val="tx1"/>
                  </w14:solidFill>
                </w14:textFill>
              </w:rPr>
            </w:pPr>
            <w:r>
              <w:rPr>
                <w:rFonts w:hint="eastAsia" w:ascii="仿宋_GB2312" w:hAnsi="微软雅黑" w:eastAsia="仿宋_GB2312" w:cs="微软雅黑"/>
                <w:color w:val="000000" w:themeColor="text1"/>
                <w:kern w:val="0"/>
                <w:sz w:val="28"/>
                <w:szCs w:val="28"/>
                <w:highlight w:val="none"/>
                <w:lang w:val="en-US" w:eastAsia="zh-CN"/>
                <w14:textFill>
                  <w14:solidFill>
                    <w14:schemeClr w14:val="tx1"/>
                  </w14:solidFill>
                </w14:textFill>
              </w:rPr>
              <w:t>7</w:t>
            </w:r>
          </w:p>
        </w:tc>
        <w:tc>
          <w:tcPr>
            <w:tcW w:w="5430" w:type="dxa"/>
            <w:noWrap w:val="0"/>
            <w:vAlign w:val="center"/>
          </w:tcPr>
          <w:p>
            <w:pPr>
              <w:keepNext w:val="0"/>
              <w:keepLines w:val="0"/>
              <w:pageBreakBefore w:val="0"/>
              <w:kinsoku/>
              <w:wordWrap/>
              <w:overflowPunct/>
              <w:topLinePunct w:val="0"/>
              <w:autoSpaceDE/>
              <w:autoSpaceDN/>
              <w:bidi w:val="0"/>
              <w:snapToGrid/>
              <w:spacing w:line="336" w:lineRule="auto"/>
              <w:jc w:val="left"/>
              <w:rPr>
                <w:rFonts w:hint="eastAsia" w:ascii="仿宋_GB2312" w:hAnsi="微软雅黑" w:eastAsia="仿宋_GB2312" w:cs="微软雅黑"/>
                <w:color w:val="000000" w:themeColor="text1"/>
                <w:kern w:val="0"/>
                <w:sz w:val="21"/>
                <w:szCs w:val="21"/>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val="en-US" w:eastAsia="zh-CN"/>
                <w14:textFill>
                  <w14:solidFill>
                    <w14:schemeClr w14:val="tx1"/>
                  </w14:solidFill>
                </w14:textFill>
              </w:rPr>
              <w:t>《多联机空调系统工程技术规程》</w:t>
            </w:r>
          </w:p>
        </w:tc>
        <w:tc>
          <w:tcPr>
            <w:tcW w:w="2473" w:type="dxa"/>
            <w:noWrap w:val="0"/>
            <w:vAlign w:val="center"/>
          </w:tcPr>
          <w:p>
            <w:pPr>
              <w:keepNext w:val="0"/>
              <w:keepLines w:val="0"/>
              <w:pageBreakBefore w:val="0"/>
              <w:kinsoku/>
              <w:wordWrap/>
              <w:overflowPunct/>
              <w:topLinePunct w:val="0"/>
              <w:autoSpaceDE/>
              <w:autoSpaceDN/>
              <w:bidi w:val="0"/>
              <w:snapToGrid/>
              <w:spacing w:line="336" w:lineRule="auto"/>
              <w:jc w:val="both"/>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24"/>
                <w:szCs w:val="24"/>
                <w:highlight w:val="none"/>
                <w:lang w:val="en-US" w:eastAsia="zh-CN"/>
                <w14:textFill>
                  <w14:solidFill>
                    <w14:schemeClr w14:val="tx1"/>
                  </w14:solidFill>
                </w14:textFill>
              </w:rPr>
              <w:t>JGJ 174-2010</w:t>
            </w:r>
          </w:p>
        </w:tc>
      </w:tr>
    </w:tbl>
    <w:p>
      <w:pPr>
        <w:keepNext w:val="0"/>
        <w:keepLines w:val="0"/>
        <w:pageBreakBefore w:val="0"/>
        <w:widowControl w:val="0"/>
        <w:kinsoku/>
        <w:wordWrap/>
        <w:overflowPunct/>
        <w:topLinePunct w:val="0"/>
        <w:autoSpaceDE/>
        <w:autoSpaceDN/>
        <w:bidi w:val="0"/>
        <w:adjustRightInd/>
        <w:snapToGrid/>
        <w:spacing w:line="336" w:lineRule="auto"/>
        <w:ind w:firstLine="0" w:firstLineChars="0"/>
        <w:jc w:val="both"/>
        <w:textAlignment w:val="auto"/>
        <w:rPr>
          <w:rFonts w:hint="eastAsia" w:ascii="仿宋_GB2312" w:hAnsi="仿宋_GB2312" w:eastAsia="仿宋_GB2312" w:cs="仿宋_GB2312"/>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jc w:val="both"/>
        <w:textAlignment w:val="auto"/>
        <w:rPr>
          <w:rFonts w:hint="default" w:ascii="黑体" w:hAnsi="黑体" w:eastAsia="黑体" w:cs="微软雅黑"/>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color w:val="000000" w:themeColor="text1"/>
          <w:kern w:val="0"/>
          <w:sz w:val="32"/>
          <w:szCs w:val="32"/>
          <w:highlight w:val="none"/>
          <w:lang w:val="en-US" w:eastAsia="zh-CN"/>
          <w14:textFill>
            <w14:solidFill>
              <w14:schemeClr w14:val="tx1"/>
            </w14:solidFill>
          </w14:textFill>
        </w:rPr>
        <w:t xml:space="preserve"> </w:t>
      </w:r>
      <w:r>
        <w:rPr>
          <w:rFonts w:hint="eastAsia" w:ascii="黑体" w:hAnsi="黑体" w:eastAsia="黑体" w:cs="微软雅黑"/>
          <w:color w:val="000000" w:themeColor="text1"/>
          <w:kern w:val="0"/>
          <w:sz w:val="32"/>
          <w:szCs w:val="32"/>
          <w:highlight w:val="none"/>
          <w:lang w:val="en-US" w:eastAsia="zh-CN"/>
          <w14:textFill>
            <w14:solidFill>
              <w14:schemeClr w14:val="tx1"/>
            </w14:solidFill>
          </w14:textFill>
        </w:rPr>
        <w:t>二、采购内容及需求</w:t>
      </w:r>
    </w:p>
    <w:p>
      <w:pPr>
        <w:pStyle w:val="13"/>
        <w:numPr>
          <w:ilvl w:val="0"/>
          <w:numId w:val="0"/>
        </w:numP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pPr>
      <w:r>
        <w:rPr>
          <w:rFonts w:hint="eastAsia" w:ascii="仿宋_GB2312" w:hAnsi="微软雅黑" w:eastAsia="仿宋_GB2312" w:cs="微软雅黑"/>
          <w:b/>
          <w:bCs/>
          <w:color w:val="auto"/>
          <w:kern w:val="0"/>
          <w:sz w:val="32"/>
          <w:szCs w:val="32"/>
          <w:highlight w:val="none"/>
          <w:lang w:val="en-US" w:eastAsia="zh-CN"/>
        </w:rPr>
        <w:t xml:space="preserve">    </w:t>
      </w: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空调（VRV/5P/1-拖5）</w:t>
      </w:r>
    </w:p>
    <w:p>
      <w:pPr>
        <w:pStyle w:val="17"/>
        <w:numPr>
          <w:ilvl w:val="0"/>
          <w:numId w:val="0"/>
        </w:numPr>
        <w:spacing w:before="0" w:after="0" w:line="360" w:lineRule="auto"/>
        <w:ind w:firstLine="640" w:firstLineChars="200"/>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pPr>
      <w:r>
        <w:rPr>
          <w:rFonts w:hint="eastAsia" w:ascii="仿宋_GB2312" w:hAnsi="微软雅黑" w:eastAsia="仿宋_GB2312" w:cs="微软雅黑"/>
          <w:color w:val="auto"/>
          <w:kern w:val="0"/>
          <w:sz w:val="32"/>
          <w:szCs w:val="32"/>
          <w:highlight w:val="none"/>
          <w:lang w:val="en-US" w:eastAsia="zh-CN"/>
        </w:rPr>
        <w:t>1、用途：上海航食虹桥生产制作部饼房降温使用</w:t>
      </w:r>
      <w:r>
        <w:rPr>
          <w:rFonts w:hint="eastAsia" w:ascii="仿宋_GB2312" w:hAnsi="仿宋_GB2312" w:eastAsia="仿宋_GB2312" w:cs="仿宋_GB2312"/>
          <w:color w:val="auto"/>
          <w:kern w:val="0"/>
          <w:sz w:val="32"/>
          <w:szCs w:val="32"/>
          <w:highlight w:val="none"/>
          <w:lang w:val="en-US" w:eastAsia="zh-CN"/>
        </w:rPr>
        <w:t>。</w:t>
      </w:r>
    </w:p>
    <w:p>
      <w:pPr>
        <w:pStyle w:val="13"/>
        <w:numPr>
          <w:ilvl w:val="0"/>
          <w:numId w:val="0"/>
        </w:numPr>
        <w:ind w:firstLine="640" w:firstLineChars="200"/>
        <w:rPr>
          <w:rFonts w:hint="eastAsia" w:ascii="方正楷体_GBK" w:hAnsi="方正楷体_GBK" w:eastAsia="方正楷体_GBK" w:cs="方正楷体_GBK"/>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bidi="ar-SA"/>
          <w14:textFill>
            <w14:solidFill>
              <w14:schemeClr w14:val="tx1"/>
            </w14:solidFill>
          </w14:textFill>
        </w:rPr>
        <w:t>2、</w:t>
      </w:r>
      <w:r>
        <w:rPr>
          <w:rFonts w:hint="eastAsia" w:ascii="方正楷体_GBK" w:hAnsi="方正楷体_GBK" w:eastAsia="方正楷体_GBK" w:cs="方正楷体_GBK"/>
          <w:color w:val="000000" w:themeColor="text1"/>
          <w:kern w:val="0"/>
          <w:sz w:val="32"/>
          <w:szCs w:val="32"/>
          <w:highlight w:val="none"/>
          <w:lang w:val="en-US" w:eastAsia="zh-CN"/>
          <w14:textFill>
            <w14:solidFill>
              <w14:schemeClr w14:val="tx1"/>
            </w14:solidFill>
          </w14:textFill>
        </w:rPr>
        <w:t>空调设备详情</w:t>
      </w:r>
    </w:p>
    <w:p>
      <w:pPr>
        <w:pStyle w:val="13"/>
        <w:numPr>
          <w:ilvl w:val="0"/>
          <w:numId w:val="0"/>
        </w:numPr>
        <w:ind w:firstLine="64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VRV多联机1套（2个400外机组合），包括：</w:t>
      </w:r>
    </w:p>
    <w:p>
      <w:pPr>
        <w:pStyle w:val="13"/>
        <w:numPr>
          <w:ilvl w:val="0"/>
          <w:numId w:val="0"/>
        </w:numPr>
        <w:ind w:firstLine="320" w:firstLineChars="10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（一）室外主机1台</w:t>
      </w:r>
    </w:p>
    <w:p>
      <w:pPr>
        <w:pStyle w:val="13"/>
        <w:numPr>
          <w:ilvl w:val="0"/>
          <w:numId w:val="0"/>
        </w:numPr>
        <w:ind w:firstLine="640" w:firstLineChars="20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电源380V，制冷功率≤19.22KW,运行噪音≤65分贝，能效等级为二级及以上，冷媒类型为R410A，室外主机安装于楼顶平台，现场条件已满足安装需求，具体位置详见勘察现场；</w:t>
      </w:r>
    </w:p>
    <w:p>
      <w:pPr>
        <w:pStyle w:val="13"/>
        <w:numPr>
          <w:ilvl w:val="0"/>
          <w:numId w:val="0"/>
        </w:numPr>
        <w:ind w:firstLine="320" w:firstLineChars="10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（二）室内机5台</w:t>
      </w:r>
    </w:p>
    <w:p>
      <w:pPr>
        <w:pStyle w:val="13"/>
        <w:numPr>
          <w:ilvl w:val="0"/>
          <w:numId w:val="0"/>
        </w:numPr>
        <w:ind w:firstLine="640" w:firstLineChars="20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①天花内机2台，电源220V，制冷功率≤0.13KW，运行噪音≤45分贝，内置排水泵，安装于2楼饼房包装间；</w:t>
      </w:r>
    </w:p>
    <w:p>
      <w:pPr>
        <w:pStyle w:val="13"/>
        <w:numPr>
          <w:ilvl w:val="0"/>
          <w:numId w:val="0"/>
        </w:numPr>
        <w:ind w:firstLine="640" w:firstLineChars="200"/>
        <w:rPr>
          <w:rFonts w:hint="eastAsia" w:ascii="宋体" w:hAnsi="宋体" w:eastAsia="宋体" w:cs="宋体"/>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②天花内机1台，电源220V，运行噪音≤45分贝，内置排水泵，安装于2楼饼房冷却间；</w:t>
      </w:r>
    </w:p>
    <w:p>
      <w:pPr>
        <w:pStyle w:val="13"/>
        <w:numPr>
          <w:ilvl w:val="0"/>
          <w:numId w:val="0"/>
        </w:numPr>
        <w:ind w:firstLine="640" w:firstLineChars="200"/>
        <w:rPr>
          <w:rFonts w:hint="eastAsia"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③风管内机2台，电源220V，制冷功率≤0.36KW，运行噪音≤45分贝，内置排水泵，安装于2楼面点制作间；前述天花机、风管的尺寸已满足现场安装条件要求，现场安装尺寸满足。为保障厨房正常生产温度要求（21℃以下），制冷运行模式下该</w:t>
      </w:r>
      <w:r>
        <w:rPr>
          <w:rFonts w:hint="eastAsia" w:ascii="宋体" w:hAnsi="宋体" w:eastAsia="宋体" w:cs="宋体"/>
          <w:color w:val="000000" w:themeColor="text1"/>
          <w:kern w:val="0"/>
          <w:sz w:val="32"/>
          <w:szCs w:val="32"/>
          <w:lang w:val="en-US" w:eastAsia="zh-CN"/>
          <w14:textFill>
            <w14:solidFill>
              <w14:schemeClr w14:val="tx1"/>
            </w14:solidFill>
          </w14:textFill>
        </w:rPr>
        <w:t>多联机室外机运转工作温度范围需满足：-15～52℃。</w:t>
      </w:r>
    </w:p>
    <w:p>
      <w:pPr>
        <w:pStyle w:val="13"/>
        <w:numPr>
          <w:ilvl w:val="-1"/>
          <w:numId w:val="0"/>
        </w:numPr>
        <w:ind w:firstLine="640" w:firstLineChars="200"/>
        <w:rPr>
          <w:rFonts w:hint="eastAsia"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3、所有空调应具备高低压、排气温度、防冻结、过滤、过压、压机驱动等保护装置。</w:t>
      </w:r>
    </w:p>
    <w:p>
      <w:pPr>
        <w:pStyle w:val="13"/>
        <w:numPr>
          <w:ilvl w:val="-1"/>
          <w:numId w:val="0"/>
        </w:numPr>
        <w:ind w:firstLine="640" w:firstLineChars="200"/>
        <w:rPr>
          <w:rFonts w:hint="default"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4、多联机组自身具有高温除菌功能可有效杀灭细菌（不需要通过外加模块实现）。</w:t>
      </w:r>
    </w:p>
    <w:p>
      <w:pPr>
        <w:pStyle w:val="13"/>
        <w:numPr>
          <w:ilvl w:val="-1"/>
          <w:numId w:val="0"/>
        </w:numPr>
        <w:ind w:firstLine="640" w:firstLineChars="200"/>
        <w:rPr>
          <w:rFonts w:hint="default"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5、多联机设备具备多重后备运转功能、具有自动的静音运转功能、具有自动记忆功能，可以存储各类运行参数，时间不少于25min。</w:t>
      </w:r>
    </w:p>
    <w:p>
      <w:pPr>
        <w:pStyle w:val="13"/>
        <w:numPr>
          <w:ilvl w:val="-1"/>
          <w:numId w:val="0"/>
        </w:numPr>
        <w:ind w:firstLine="640" w:firstLineChars="200"/>
        <w:rPr>
          <w:rFonts w:hint="default"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6、四面出风嵌入室内机可根据使用情况分别调整四个方向的出风角度，多种组合方式。</w:t>
      </w:r>
    </w:p>
    <w:p>
      <w:pPr>
        <w:keepNext w:val="0"/>
        <w:keepLines w:val="0"/>
        <w:pageBreakBefore w:val="0"/>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7、安装要求：</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本项目</w:t>
      </w:r>
      <w:r>
        <w:rPr>
          <w:rFonts w:hint="eastAsia" w:ascii="仿宋_GB2312" w:hAnsi="微软雅黑" w:eastAsia="仿宋_GB2312" w:cs="微软雅黑"/>
          <w:color w:val="000000" w:themeColor="text1"/>
          <w:kern w:val="0"/>
          <w:sz w:val="32"/>
          <w:szCs w:val="32"/>
          <w:lang w:val="en-US" w:eastAsia="zh-CN"/>
          <w14:textFill>
            <w14:solidFill>
              <w14:schemeClr w14:val="tx1"/>
            </w14:solidFill>
          </w14:textFill>
        </w:rPr>
        <w:t>VRV多联机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设备安装服务范围：</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（1）新机组室内、外机组的安装、管道连接、保温、电源与控制的安装和连接、设备调试等。</w:t>
      </w:r>
    </w:p>
    <w:p>
      <w:pPr>
        <w:keepNext w:val="0"/>
        <w:keepLines w:val="0"/>
        <w:pageBreakBefore w:val="0"/>
        <w:numPr>
          <w:ilvl w:val="0"/>
          <w:numId w:val="0"/>
        </w:numPr>
        <w:kinsoku/>
        <w:wordWrap/>
        <w:overflowPunct/>
        <w:topLinePunct w:val="0"/>
        <w:autoSpaceDE/>
        <w:autoSpaceDN/>
        <w:bidi w:val="0"/>
        <w:snapToGrid/>
        <w:spacing w:line="336" w:lineRule="auto"/>
        <w:ind w:firstLine="640" w:firstLineChars="200"/>
        <w:rPr>
          <w:rFonts w:hint="eastAsia" w:ascii="宋体" w:hAnsi="宋体" w:eastAsia="宋体" w:cs="宋体"/>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（2）空调机组安装后恢复吊顶至正常状态。</w:t>
      </w:r>
    </w:p>
    <w:p>
      <w:pPr>
        <w:numPr>
          <w:ilvl w:val="0"/>
          <w:numId w:val="0"/>
        </w:numPr>
        <w:spacing w:line="336" w:lineRule="auto"/>
        <w:ind w:left="0" w:leftChars="0" w:firstLine="640" w:firstLineChars="200"/>
        <w:rPr>
          <w:rFonts w:hint="default" w:ascii="宋体" w:hAnsi="宋体" w:eastAsia="宋体" w:cs="宋体"/>
          <w:color w:val="000000" w:themeColor="text1"/>
          <w:kern w:val="0"/>
          <w:sz w:val="32"/>
          <w:szCs w:val="32"/>
          <w:lang w:val="en-US" w:eastAsia="zh-CN" w:bidi="ar-SA"/>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8、</w:t>
      </w:r>
      <w:r>
        <w:rPr>
          <w:rFonts w:hint="eastAsia" w:ascii="宋体" w:hAnsi="宋体" w:eastAsia="宋体" w:cs="宋体"/>
          <w:color w:val="000000" w:themeColor="text1"/>
          <w:kern w:val="0"/>
          <w:sz w:val="32"/>
          <w:szCs w:val="32"/>
          <w:lang w:val="en-US" w:eastAsia="zh-CN" w:bidi="ar-SA"/>
          <w14:textFill>
            <w14:solidFill>
              <w14:schemeClr w14:val="tx1"/>
            </w14:solidFill>
          </w14:textFill>
        </w:rPr>
        <w:t>包饼房空调选型要考虑面粉粉尘对内机的影响。</w:t>
      </w:r>
    </w:p>
    <w:p>
      <w:pPr>
        <w:pStyle w:val="13"/>
        <w:numPr>
          <w:ilvl w:val="0"/>
          <w:numId w:val="0"/>
        </w:numPr>
        <w:ind w:firstLine="0" w:firstLineChars="0"/>
        <w:rPr>
          <w:rFonts w:hint="default" w:ascii="宋体" w:hAnsi="宋体" w:eastAsia="宋体" w:cs="宋体"/>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 xml:space="preserve">    9、设备安装人员需具备相关的特种作业操作证资质（如：高低压操作、登高作业等）。</w:t>
      </w:r>
    </w:p>
    <w:p>
      <w:pPr>
        <w:pStyle w:val="13"/>
        <w:numPr>
          <w:ilvl w:val="0"/>
          <w:numId w:val="0"/>
        </w:numPr>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宋体" w:hAnsi="宋体" w:eastAsia="宋体" w:cs="宋体"/>
          <w:color w:val="000000" w:themeColor="text1"/>
          <w:kern w:val="0"/>
          <w:sz w:val="32"/>
          <w:szCs w:val="32"/>
          <w:lang w:val="en-US" w:eastAsia="zh-CN"/>
          <w14:textFill>
            <w14:solidFill>
              <w14:schemeClr w14:val="tx1"/>
            </w14:solidFill>
          </w14:textFill>
        </w:rPr>
        <w:t>10、空调所有需要的辅助材料见附件一。</w:t>
      </w:r>
    </w:p>
    <w:p>
      <w:pPr>
        <w:pStyle w:val="13"/>
        <w:numPr>
          <w:ilvl w:val="0"/>
          <w:numId w:val="0"/>
        </w:numPr>
        <w:spacing w:line="336" w:lineRule="auto"/>
        <w:ind w:firstLine="640" w:firstLineChars="200"/>
        <w:rPr>
          <w:rFonts w:hint="default" w:ascii="仿宋_GB2312" w:hAnsi="微软雅黑" w:eastAsia="仿宋_GB2312" w:cs="微软雅黑"/>
          <w:color w:val="auto"/>
          <w:kern w:val="0"/>
          <w:sz w:val="32"/>
          <w:szCs w:val="32"/>
          <w:highlight w:val="none"/>
          <w:lang w:val="en-US" w:eastAsia="zh-CN"/>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三、其他服务类需求</w:t>
      </w:r>
    </w:p>
    <w:p>
      <w:pPr>
        <w:pStyle w:val="13"/>
        <w:numPr>
          <w:ilvl w:val="0"/>
          <w:numId w:val="0"/>
        </w:numPr>
        <w:ind w:leftChars="0" w:firstLine="640" w:firstLineChars="200"/>
        <w:rPr>
          <w:rFonts w:hint="default" w:ascii="黑体" w:hAnsi="黑体" w:eastAsia="黑体" w:cs="微软雅黑"/>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kern w:val="0"/>
          <w:sz w:val="32"/>
          <w:szCs w:val="32"/>
          <w:lang w:val="en-US" w:eastAsia="zh-CN" w:bidi="ar-SA"/>
          <w14:textFill>
            <w14:solidFill>
              <w14:schemeClr w14:val="tx1"/>
            </w14:solidFill>
          </w14:textFill>
        </w:rPr>
        <w:t>1.投标文件必须列出设备的名称、制造商、品牌、产地、型号、规格、数量、单价、总价等。</w:t>
      </w:r>
    </w:p>
    <w:p>
      <w:pPr>
        <w:ind w:firstLine="540"/>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2.设备安装后需提供的资料：</w:t>
      </w:r>
      <w:r>
        <w:rPr>
          <w:rFonts w:hint="eastAsia" w:ascii="仿宋_GB2312" w:hAnsi="微软雅黑" w:eastAsia="仿宋_GB2312" w:cs="微软雅黑"/>
          <w:color w:val="000000" w:themeColor="text1"/>
          <w:kern w:val="0"/>
          <w:sz w:val="32"/>
          <w:szCs w:val="32"/>
          <w:lang w:val="en-US" w:eastAsia="zh-CN" w:bidi="ar-SA"/>
          <w14:textFill>
            <w14:solidFill>
              <w14:schemeClr w14:val="tx1"/>
            </w14:solidFill>
          </w14:textFill>
        </w:rPr>
        <w:t>设备、材料产品合格证、说明书及技术资料；使用操作及维护维修手册；备品备件、工具清单；系统故障处理恢复方案及应急救援手册；设备、材料清单（包括型号、规格及数量）。</w:t>
      </w:r>
    </w:p>
    <w:p>
      <w:pPr>
        <w:ind w:firstLine="640" w:firstLineChars="200"/>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3.技术服务及人员培训要求：</w:t>
      </w:r>
    </w:p>
    <w:p>
      <w:pPr>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（1）供货商派遣技术熟练，身体健康，有工作经验的技术人员为采购申请部门提供技术服务及人员培训。</w:t>
      </w:r>
    </w:p>
    <w:p>
      <w:pPr>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（2）对采购方的维修人员和操作人员进行现场培训，并书面留存。</w:t>
      </w:r>
    </w:p>
    <w:p>
      <w:pPr>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（3）技术服务包含但不限于如下内容：安装、调试、试运行、培训，以及其他供货商必须提供的其他技术服务。</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供货商指派一名技术服务人员作为现场总代表，负责合同范围内的设备的总技术指导。</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（5）供货商的技术服务必须正确无误。由于供货商技术人员不正确的技术指导，而造成设备和材料的损失。供货商必须负责免费修理、更换和补充。</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（6）现场的培训</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培训计划包括课堂教学和现场操作两部分。通过培训，应使采购方现场操作人员达到如下的目的：</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了解生产设备的功能和操作使用管理方法。</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了解安全操作规程和使用时必须注意的事项。</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掌握常见故障发生的原因、如何排除故障等内容。</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学会生产设备的日常保养知识。</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了解生产设备的保护装置。</w:t>
      </w:r>
    </w:p>
    <w:p>
      <w:pPr>
        <w:numPr>
          <w:ilvl w:val="0"/>
          <w:numId w:val="0"/>
        </w:numPr>
        <w:ind w:firstLine="640" w:firstLineChars="200"/>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4.进场验收：</w:t>
      </w:r>
    </w:p>
    <w:p>
      <w:pPr>
        <w:numPr>
          <w:ilvl w:val="0"/>
          <w:numId w:val="0"/>
        </w:numPr>
        <w:ind w:firstLine="640" w:firstLineChars="200"/>
        <w:rPr>
          <w:rFonts w:hint="default"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（1）供货商</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提供合格证和质量证明文件。</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设备到达项目现场后，供货商与采购申请部门一起根据运单和装箱单对设备的包装、外观及件数进行清点检验。如发现有任何不符之处经双方代表确认属供货商责任，由供货商处理解决。当设备运到项目现场后，双方应尽快开箱检验，检验设备的数量、规格和质量。</w:t>
      </w:r>
    </w:p>
    <w:p>
      <w:pPr>
        <w:pStyle w:val="17"/>
        <w:spacing w:before="0" w:after="0" w:line="360" w:lineRule="auto"/>
        <w:ind w:firstLine="42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现场检验时，须由采购方、供货商、设备生产厂家、三方组成的验收小组一起检验。如发现设备由于供货商原因（包括运输）有任何损坏、缺陷、短少或不符合合同中规定的质量标准和规范时，应做好记录，并由双方代表签字，各执一份，作为采购方向供货商提出修理和/或更换和/或索赔的依据；如果供货商委托采购方修理损坏的设备，所有修复设备的费用由供货商承担；如果由于采购方原因，发现损坏或短缺，供货商在接到需方通知后，应尽快提供或替换相应的部件，但费用由采购方自负。</w:t>
      </w:r>
    </w:p>
    <w:p>
      <w:pPr>
        <w:pStyle w:val="17"/>
        <w:spacing w:before="0" w:after="0" w:line="360" w:lineRule="auto"/>
        <w:ind w:firstLine="420"/>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5.安装、调试</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（1）供货商在设备到货前应书面提出货物堆放和安装场地的要求。</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（2）供货商提出安装计划有采购方认可。</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在设备装卸和安装施工期间，供货商须负责解决所需的起重、搬运的设备、器具、工具（包括专用工具）以及相应的保障措施。供货商应在收到采购方的书面通知后3日内到达现场，确认已预留的大型设备吊装孔尺寸。</w:t>
      </w:r>
    </w:p>
    <w:p>
      <w:pPr>
        <w:pStyle w:val="17"/>
        <w:spacing w:before="0" w:after="0" w:line="360" w:lineRule="auto"/>
        <w:ind w:firstLine="420"/>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（4）货物装卸费应含在总报价中，中标后不得另行增加由吊装直至设备就位等发生的货物二次搬运费用。</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（5）供货商负责所有设备的安装工作，管线连接、电气接线、所需的开槽、挖洞等土木工作和表面的恢复工作。</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供货商应在安装后对设备进行调试、现场测试，以检验其设计制作、操作性能和功能等方面的情况，供货商应提供所有调试和试运行所需的工具、材料、仪器及劳务。配合安装、调试，试运行所需的工具、材料、仪器及劳务均由供货商负责准备。</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（7）设备安装所需要的临时设施及所需的设备的产品保护、工作设施、工作照明、防护、安装脚手、围栏、警告标志和守护人员等由供货商负责。</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采购方保留对供货商驻现场主管和工作人员人选的审查权，若采购方认为任何供货商工作人员不能胜任工作、行为不良、违反现场工作制度或野蛮操作、不听指示、存在安全隐患以及采购方认为应予调离的其它原因，采购方有权请求更换，供货商应立即更换人员，并不得借此要求赔偿和拖延工期。</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（9）验收分二个阶段：初步验收（设备数量准确，相关资料已提交，可正常运行）--试运三个月满足使用需求进入最终验收。</w:t>
      </w:r>
    </w:p>
    <w:p>
      <w:pPr>
        <w:pStyle w:val="17"/>
        <w:spacing w:before="0" w:after="0" w:line="360" w:lineRule="auto"/>
        <w:ind w:firstLine="420"/>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val="en-US" w:eastAsia="zh-CN"/>
          <w14:textFill>
            <w14:solidFill>
              <w14:schemeClr w14:val="tx1"/>
            </w14:solidFill>
          </w14:textFill>
        </w:rPr>
        <w:t>6.售后服务</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（1）试运行和质保期间由于设备质量因素而造成的损</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坏，均由供货商负责免费维修和更换备件。</w:t>
      </w:r>
    </w:p>
    <w:p>
      <w:pPr>
        <w:pStyle w:val="17"/>
        <w:spacing w:before="0" w:after="0" w:line="360" w:lineRule="auto"/>
        <w:ind w:left="0" w:leftChars="0"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（2）供货商在接到报修通知后6小时内赶到现场进行维修，直至故障排除完全恢复正常服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务为止。供货商在修理或更换设备的电气和机械部件，必须采用原制造厂出品的零部件。</w:t>
      </w:r>
    </w:p>
    <w:p>
      <w:pPr>
        <w:pStyle w:val="13"/>
        <w:numPr>
          <w:ilvl w:val="0"/>
          <w:numId w:val="0"/>
        </w:numPr>
        <w:ind w:firstLine="640" w:firstLineChars="200"/>
        <w:rPr>
          <w:rFonts w:hint="eastAsia" w:ascii="黑体" w:hAnsi="黑体" w:eastAsia="黑体" w:cs="微软雅黑"/>
          <w:color w:val="000000" w:themeColor="text1"/>
          <w:kern w:val="0"/>
          <w:sz w:val="32"/>
          <w:szCs w:val="32"/>
          <w:lang w:val="en-US" w:eastAsia="zh-CN"/>
          <w14:textFill>
            <w14:solidFill>
              <w14:schemeClr w14:val="tx1"/>
            </w14:solidFill>
          </w14:textFill>
        </w:rPr>
      </w:pPr>
      <w:r>
        <w:rPr>
          <w:rFonts w:hint="eastAsia" w:ascii="黑体" w:hAnsi="黑体" w:eastAsia="黑体" w:cs="微软雅黑"/>
          <w:color w:val="000000" w:themeColor="text1"/>
          <w:kern w:val="0"/>
          <w:sz w:val="32"/>
          <w:szCs w:val="32"/>
          <w:lang w:val="en-US" w:eastAsia="zh-CN"/>
          <w14:textFill>
            <w14:solidFill>
              <w14:schemeClr w14:val="tx1"/>
            </w14:solidFill>
          </w14:textFill>
        </w:rPr>
        <w:t>三、供应商资质</w:t>
      </w:r>
    </w:p>
    <w:p>
      <w:pPr>
        <w:pStyle w:val="17"/>
        <w:numPr>
          <w:ilvl w:val="0"/>
          <w:numId w:val="0"/>
        </w:numPr>
        <w:spacing w:before="0" w:after="0" w:line="360" w:lineRule="auto"/>
        <w:ind w:firstLine="640" w:firstLineChars="200"/>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bookmarkStart w:id="0" w:name="_GoBack"/>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营业范围：制冷、空调设备销售</w:t>
      </w:r>
      <w:bookmarkEnd w:id="0"/>
    </w:p>
    <w:p>
      <w:pPr>
        <w:pStyle w:val="17"/>
        <w:numPr>
          <w:ilvl w:val="0"/>
          <w:numId w:val="0"/>
        </w:numPr>
        <w:spacing w:before="0" w:after="0" w:line="360" w:lineRule="auto"/>
        <w:ind w:firstLine="0" w:firstLineChars="0"/>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31"/>
        <w:gridCol w:w="2910"/>
        <w:gridCol w:w="2551"/>
        <w:gridCol w:w="1042"/>
        <w:gridCol w:w="887"/>
        <w:gridCol w:w="1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67" w:type="pct"/>
          <w:trHeight w:val="809" w:hRule="atLeast"/>
        </w:trPr>
        <w:tc>
          <w:tcPr>
            <w:tcW w:w="4932" w:type="pct"/>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b/>
                <w:i w:val="0"/>
                <w:color w:val="000000"/>
                <w:kern w:val="0"/>
                <w:sz w:val="36"/>
                <w:szCs w:val="36"/>
                <w:u w:val="none"/>
                <w:lang w:val="en-US" w:eastAsia="zh-CN" w:bidi="ar"/>
              </w:rPr>
            </w:pPr>
            <w:r>
              <w:rPr>
                <w:rFonts w:hint="eastAsia" w:ascii="宋体" w:hAnsi="宋体" w:eastAsia="宋体" w:cs="宋体"/>
                <w:b/>
                <w:i w:val="0"/>
                <w:color w:val="000000"/>
                <w:kern w:val="0"/>
                <w:sz w:val="36"/>
                <w:szCs w:val="36"/>
                <w:u w:val="none"/>
                <w:lang w:val="en-US" w:eastAsia="zh-CN" w:bidi="ar"/>
              </w:rPr>
              <w:t>附件一：空调系统预算安装清单</w:t>
            </w:r>
          </w:p>
          <w:p>
            <w:pPr>
              <w:keepNext w:val="0"/>
              <w:keepLines w:val="0"/>
              <w:widowControl/>
              <w:suppressLineNumbers w:val="0"/>
              <w:jc w:val="both"/>
              <w:textAlignment w:val="center"/>
              <w:rPr>
                <w:rFonts w:hint="eastAsia" w:ascii="宋体" w:hAnsi="宋体" w:eastAsia="宋体" w:cs="宋体"/>
                <w:b/>
                <w:i w:val="0"/>
                <w:color w:val="000000"/>
                <w:kern w:val="0"/>
                <w:sz w:val="36"/>
                <w:szCs w:val="36"/>
                <w:u w:val="none"/>
                <w:lang w:val="en-US" w:eastAsia="zh-CN" w:bidi="ar"/>
              </w:rPr>
            </w:pPr>
            <w:r>
              <w:rPr>
                <w:rFonts w:hint="eastAsia" w:ascii="宋体" w:hAnsi="宋体" w:eastAsia="宋体" w:cs="宋体"/>
                <w:b/>
                <w:i w:val="0"/>
                <w:color w:val="000000"/>
                <w:sz w:val="36"/>
                <w:szCs w:val="36"/>
                <w:u w:val="none"/>
                <w:lang w:val="en-US" w:eastAsia="zh-CN"/>
              </w:rPr>
              <w:t>1.多联机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7" w:hRule="atLeast"/>
        </w:trPr>
        <w:tc>
          <w:tcPr>
            <w:tcW w:w="499" w:type="pct"/>
            <w:tcBorders>
              <w:top w:val="single" w:color="000000" w:sz="8" w:space="0"/>
              <w:left w:val="single" w:color="000000" w:sz="8" w:space="0"/>
              <w:bottom w:val="nil"/>
              <w:right w:val="single" w:color="000000" w:sz="4" w:space="0"/>
            </w:tcBorders>
            <w:shd w:val="clear" w:color="auto" w:fill="D9D9D9"/>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746" w:type="pct"/>
            <w:tcBorders>
              <w:top w:val="single" w:color="000000" w:sz="8" w:space="0"/>
              <w:left w:val="single" w:color="000000" w:sz="4" w:space="0"/>
              <w:bottom w:val="nil"/>
              <w:right w:val="single" w:color="000000" w:sz="4" w:space="0"/>
            </w:tcBorders>
            <w:shd w:val="clear" w:color="auto" w:fill="D9D9D9"/>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名称</w:t>
            </w:r>
          </w:p>
        </w:tc>
        <w:tc>
          <w:tcPr>
            <w:tcW w:w="1530" w:type="pct"/>
            <w:tcBorders>
              <w:top w:val="single" w:color="000000" w:sz="8" w:space="0"/>
              <w:left w:val="single" w:color="000000" w:sz="4" w:space="0"/>
              <w:bottom w:val="nil"/>
              <w:right w:val="single" w:color="000000" w:sz="4" w:space="0"/>
            </w:tcBorders>
            <w:shd w:val="clear" w:color="auto" w:fill="D9D9D9"/>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型号</w:t>
            </w:r>
          </w:p>
        </w:tc>
        <w:tc>
          <w:tcPr>
            <w:tcW w:w="625" w:type="pct"/>
            <w:tcBorders>
              <w:top w:val="single" w:color="000000" w:sz="8" w:space="0"/>
              <w:left w:val="single" w:color="000000" w:sz="4" w:space="0"/>
              <w:bottom w:val="nil"/>
              <w:right w:val="single" w:color="000000" w:sz="4" w:space="0"/>
            </w:tcBorders>
            <w:shd w:val="clear" w:color="auto" w:fill="D9D9D9"/>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数量</w:t>
            </w:r>
          </w:p>
        </w:tc>
        <w:tc>
          <w:tcPr>
            <w:tcW w:w="599" w:type="pct"/>
            <w:gridSpan w:val="2"/>
            <w:tcBorders>
              <w:top w:val="single" w:color="000000" w:sz="8" w:space="0"/>
              <w:left w:val="single" w:color="000000" w:sz="4" w:space="0"/>
              <w:bottom w:val="nil"/>
              <w:right w:val="single" w:color="000000" w:sz="4" w:space="0"/>
            </w:tcBorders>
            <w:shd w:val="clear" w:color="auto" w:fill="D9D9D9"/>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5"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φ9.52</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φ12.7</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φ15.9</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φ19.1</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71</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φ25.4</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铜管(含保温）</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Φ31.8</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3"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冷凝水管（带保温及配件）</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DN20~DN40</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4"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温控线</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2x0.75㎡</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墙洞 </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孔径80mm</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5"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10</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室外机安装费</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6"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11</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室内机安装费</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13</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机组电源电缆线</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3*2.5（起帆YJV电缆）</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7"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val="en-US" w:eastAsia="zh-CN"/>
              </w:rPr>
              <w:t>14</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机组电源电缆线</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rPr>
              <w:t>5*1</w:t>
            </w:r>
            <w:r>
              <w:rPr>
                <w:rFonts w:hint="eastAsia" w:ascii="宋体" w:hAnsi="宋体" w:eastAsia="宋体" w:cs="宋体"/>
                <w:i w:val="0"/>
                <w:color w:val="000000"/>
                <w:sz w:val="24"/>
                <w:szCs w:val="24"/>
                <w:u w:val="none"/>
                <w:lang w:val="en-US" w:eastAsia="zh-CN"/>
              </w:rPr>
              <w:t>0</w:t>
            </w:r>
            <w:r>
              <w:rPr>
                <w:rFonts w:hint="eastAsia" w:ascii="宋体" w:hAnsi="宋体" w:eastAsia="宋体" w:cs="宋体"/>
                <w:i w:val="0"/>
                <w:color w:val="000000"/>
                <w:sz w:val="24"/>
                <w:szCs w:val="24"/>
                <w:u w:val="none"/>
              </w:rPr>
              <w:t xml:space="preserve"> （起帆YJV电缆）</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15</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15</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机组电源电缆线</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5*1</w:t>
            </w:r>
            <w:r>
              <w:rPr>
                <w:rFonts w:hint="eastAsia" w:ascii="宋体" w:hAnsi="宋体" w:eastAsia="宋体" w:cs="宋体"/>
                <w:i w:val="0"/>
                <w:color w:val="000000"/>
                <w:sz w:val="24"/>
                <w:szCs w:val="24"/>
                <w:u w:val="none"/>
                <w:lang w:val="en-US" w:eastAsia="zh-CN"/>
              </w:rPr>
              <w:t>6</w:t>
            </w:r>
            <w:r>
              <w:rPr>
                <w:rFonts w:hint="eastAsia" w:ascii="宋体" w:hAnsi="宋体" w:eastAsia="宋体" w:cs="宋体"/>
                <w:i w:val="0"/>
                <w:color w:val="000000"/>
                <w:sz w:val="24"/>
                <w:szCs w:val="24"/>
                <w:u w:val="none"/>
              </w:rPr>
              <w:t xml:space="preserve"> （起帆YJV电缆）</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40</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trPr>
        <w:tc>
          <w:tcPr>
            <w:tcW w:w="83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16</w:t>
            </w:r>
          </w:p>
        </w:tc>
        <w:tc>
          <w:tcPr>
            <w:tcW w:w="291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外机电源控制箱</w:t>
            </w:r>
          </w:p>
        </w:tc>
        <w:tc>
          <w:tcPr>
            <w:tcW w:w="255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trPr>
        <w:tc>
          <w:tcPr>
            <w:tcW w:w="49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17</w:t>
            </w:r>
          </w:p>
        </w:tc>
        <w:tc>
          <w:tcPr>
            <w:tcW w:w="174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外机槽钢基础</w:t>
            </w:r>
          </w:p>
        </w:tc>
        <w:tc>
          <w:tcPr>
            <w:tcW w:w="15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w:t>
            </w:r>
          </w:p>
        </w:tc>
        <w:tc>
          <w:tcPr>
            <w:tcW w:w="599"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w:t>
            </w:r>
          </w:p>
        </w:tc>
      </w:tr>
    </w:tbl>
    <w:p>
      <w:pPr>
        <w:pStyle w:val="17"/>
        <w:numPr>
          <w:ilvl w:val="0"/>
          <w:numId w:val="0"/>
        </w:numPr>
        <w:spacing w:before="0" w:after="0" w:line="360" w:lineRule="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p>
    <w:sectPr>
      <w:footerReference r:id="rId3" w:type="default"/>
      <w:footerReference r:id="rId4"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M2U5ODIxYWMyMGJmMGYxYWYwNDkyZDE1Mjk0NjcifQ=="/>
  </w:docVars>
  <w:rsids>
    <w:rsidRoot w:val="00172A27"/>
    <w:rsid w:val="000201D4"/>
    <w:rsid w:val="000550E3"/>
    <w:rsid w:val="00061DD7"/>
    <w:rsid w:val="00073587"/>
    <w:rsid w:val="00080791"/>
    <w:rsid w:val="000849F7"/>
    <w:rsid w:val="00084E14"/>
    <w:rsid w:val="000C170A"/>
    <w:rsid w:val="000E2B02"/>
    <w:rsid w:val="0013221E"/>
    <w:rsid w:val="001348E1"/>
    <w:rsid w:val="00171287"/>
    <w:rsid w:val="00180EAA"/>
    <w:rsid w:val="001C5795"/>
    <w:rsid w:val="001D0FAB"/>
    <w:rsid w:val="001E7299"/>
    <w:rsid w:val="00201FAD"/>
    <w:rsid w:val="00214170"/>
    <w:rsid w:val="00223D20"/>
    <w:rsid w:val="00226EAE"/>
    <w:rsid w:val="002327A9"/>
    <w:rsid w:val="002B2046"/>
    <w:rsid w:val="002E107B"/>
    <w:rsid w:val="00325204"/>
    <w:rsid w:val="00362239"/>
    <w:rsid w:val="00371A25"/>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431F3"/>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E258D"/>
    <w:rsid w:val="00E0025A"/>
    <w:rsid w:val="00E17ADC"/>
    <w:rsid w:val="00E5322E"/>
    <w:rsid w:val="00E96F5B"/>
    <w:rsid w:val="00EC4A37"/>
    <w:rsid w:val="00EC621F"/>
    <w:rsid w:val="00ED5206"/>
    <w:rsid w:val="00F61A1A"/>
    <w:rsid w:val="00F9084B"/>
    <w:rsid w:val="01155E73"/>
    <w:rsid w:val="01514102"/>
    <w:rsid w:val="01614D3F"/>
    <w:rsid w:val="01AC11E8"/>
    <w:rsid w:val="0244599C"/>
    <w:rsid w:val="02651B40"/>
    <w:rsid w:val="02CF3A50"/>
    <w:rsid w:val="02EC72AA"/>
    <w:rsid w:val="02F12047"/>
    <w:rsid w:val="03104D6E"/>
    <w:rsid w:val="033F6241"/>
    <w:rsid w:val="038D13F5"/>
    <w:rsid w:val="044A50EF"/>
    <w:rsid w:val="04527888"/>
    <w:rsid w:val="04655025"/>
    <w:rsid w:val="048911B8"/>
    <w:rsid w:val="050C6EED"/>
    <w:rsid w:val="05D23C55"/>
    <w:rsid w:val="06E5402C"/>
    <w:rsid w:val="07157D55"/>
    <w:rsid w:val="07E8268A"/>
    <w:rsid w:val="08081D23"/>
    <w:rsid w:val="081E6E0E"/>
    <w:rsid w:val="08567BD5"/>
    <w:rsid w:val="08E23EF4"/>
    <w:rsid w:val="08E33192"/>
    <w:rsid w:val="08EF42E1"/>
    <w:rsid w:val="09355024"/>
    <w:rsid w:val="09763E27"/>
    <w:rsid w:val="09955EF3"/>
    <w:rsid w:val="0A3D76BB"/>
    <w:rsid w:val="0A5063D5"/>
    <w:rsid w:val="0A535C73"/>
    <w:rsid w:val="0A6C12F2"/>
    <w:rsid w:val="0AC62E38"/>
    <w:rsid w:val="0ADC54BB"/>
    <w:rsid w:val="0AE44029"/>
    <w:rsid w:val="0B00037B"/>
    <w:rsid w:val="0B524DBF"/>
    <w:rsid w:val="0B613EDC"/>
    <w:rsid w:val="0B7C511D"/>
    <w:rsid w:val="0C1E58CC"/>
    <w:rsid w:val="0C974070"/>
    <w:rsid w:val="0D991653"/>
    <w:rsid w:val="0E0244EC"/>
    <w:rsid w:val="0EEA1936"/>
    <w:rsid w:val="0F010589"/>
    <w:rsid w:val="0F2869D7"/>
    <w:rsid w:val="0F40166E"/>
    <w:rsid w:val="0F415EE5"/>
    <w:rsid w:val="0F64733F"/>
    <w:rsid w:val="0FC17D95"/>
    <w:rsid w:val="107965E8"/>
    <w:rsid w:val="10AD59E5"/>
    <w:rsid w:val="11206924"/>
    <w:rsid w:val="11754C49"/>
    <w:rsid w:val="1181721F"/>
    <w:rsid w:val="119828AC"/>
    <w:rsid w:val="11A14564"/>
    <w:rsid w:val="12192494"/>
    <w:rsid w:val="12774176"/>
    <w:rsid w:val="1284600C"/>
    <w:rsid w:val="12955CB7"/>
    <w:rsid w:val="12E95DEA"/>
    <w:rsid w:val="13106854"/>
    <w:rsid w:val="136C6451"/>
    <w:rsid w:val="13AD0156"/>
    <w:rsid w:val="14B45377"/>
    <w:rsid w:val="14D526C5"/>
    <w:rsid w:val="15313E8C"/>
    <w:rsid w:val="15EE2189"/>
    <w:rsid w:val="16005D12"/>
    <w:rsid w:val="161E072B"/>
    <w:rsid w:val="165B30A5"/>
    <w:rsid w:val="166641B7"/>
    <w:rsid w:val="16B579F4"/>
    <w:rsid w:val="17F159C6"/>
    <w:rsid w:val="18313BD2"/>
    <w:rsid w:val="187336F0"/>
    <w:rsid w:val="188B5BBB"/>
    <w:rsid w:val="18A4656A"/>
    <w:rsid w:val="191965BF"/>
    <w:rsid w:val="19C7273A"/>
    <w:rsid w:val="19CC546E"/>
    <w:rsid w:val="1B2B35FE"/>
    <w:rsid w:val="1B3E329B"/>
    <w:rsid w:val="1B487129"/>
    <w:rsid w:val="1B9D1210"/>
    <w:rsid w:val="1BFB41DD"/>
    <w:rsid w:val="1BFC3CD6"/>
    <w:rsid w:val="1C361E9D"/>
    <w:rsid w:val="1C791D25"/>
    <w:rsid w:val="1CBA5E99"/>
    <w:rsid w:val="1D4A12D4"/>
    <w:rsid w:val="1D6B2640"/>
    <w:rsid w:val="1D792D2A"/>
    <w:rsid w:val="1E1E089C"/>
    <w:rsid w:val="1E22047D"/>
    <w:rsid w:val="1E4E7067"/>
    <w:rsid w:val="1E9801F2"/>
    <w:rsid w:val="1EA902CC"/>
    <w:rsid w:val="1EB4042F"/>
    <w:rsid w:val="1F640789"/>
    <w:rsid w:val="1F7800A4"/>
    <w:rsid w:val="1FC20587"/>
    <w:rsid w:val="1FE64C61"/>
    <w:rsid w:val="1FE65E71"/>
    <w:rsid w:val="20832D40"/>
    <w:rsid w:val="20937552"/>
    <w:rsid w:val="21A36E68"/>
    <w:rsid w:val="22BD71B4"/>
    <w:rsid w:val="23072ABF"/>
    <w:rsid w:val="233E151B"/>
    <w:rsid w:val="23D67A50"/>
    <w:rsid w:val="23FA1B6D"/>
    <w:rsid w:val="2445526F"/>
    <w:rsid w:val="245F5A32"/>
    <w:rsid w:val="25462DBA"/>
    <w:rsid w:val="254E08B1"/>
    <w:rsid w:val="260F06DD"/>
    <w:rsid w:val="274A2AF2"/>
    <w:rsid w:val="27663C6B"/>
    <w:rsid w:val="277B5819"/>
    <w:rsid w:val="282511A2"/>
    <w:rsid w:val="288F4BAE"/>
    <w:rsid w:val="28935B2F"/>
    <w:rsid w:val="29BE4A69"/>
    <w:rsid w:val="29CE07A0"/>
    <w:rsid w:val="2A390C86"/>
    <w:rsid w:val="2A98549F"/>
    <w:rsid w:val="2AD1449C"/>
    <w:rsid w:val="2AE31A9A"/>
    <w:rsid w:val="2AF65A5A"/>
    <w:rsid w:val="2AFC780A"/>
    <w:rsid w:val="2B4F54B5"/>
    <w:rsid w:val="2B6A7C6D"/>
    <w:rsid w:val="2BAE6A69"/>
    <w:rsid w:val="2BC21E7F"/>
    <w:rsid w:val="2C955E7D"/>
    <w:rsid w:val="2CF451F3"/>
    <w:rsid w:val="2D265E1F"/>
    <w:rsid w:val="2D716863"/>
    <w:rsid w:val="2D962C99"/>
    <w:rsid w:val="2DBF59EF"/>
    <w:rsid w:val="2E03764E"/>
    <w:rsid w:val="2E0A6406"/>
    <w:rsid w:val="2E2515F1"/>
    <w:rsid w:val="2E2B461D"/>
    <w:rsid w:val="2EA50589"/>
    <w:rsid w:val="2ECF5A3C"/>
    <w:rsid w:val="2F333988"/>
    <w:rsid w:val="2F6F0552"/>
    <w:rsid w:val="2FEA5CCA"/>
    <w:rsid w:val="301755D2"/>
    <w:rsid w:val="30467F71"/>
    <w:rsid w:val="30543114"/>
    <w:rsid w:val="308C5DA4"/>
    <w:rsid w:val="317E6EBE"/>
    <w:rsid w:val="31BA3B17"/>
    <w:rsid w:val="31C444CF"/>
    <w:rsid w:val="31CB7825"/>
    <w:rsid w:val="32B11C61"/>
    <w:rsid w:val="332934C5"/>
    <w:rsid w:val="335F00B6"/>
    <w:rsid w:val="33827216"/>
    <w:rsid w:val="339C6AF3"/>
    <w:rsid w:val="33CA41F7"/>
    <w:rsid w:val="33F86380"/>
    <w:rsid w:val="34744B15"/>
    <w:rsid w:val="348735A7"/>
    <w:rsid w:val="34C775BA"/>
    <w:rsid w:val="35677770"/>
    <w:rsid w:val="35DA1A9C"/>
    <w:rsid w:val="360D169C"/>
    <w:rsid w:val="363C6A0A"/>
    <w:rsid w:val="368565DF"/>
    <w:rsid w:val="36FD5CC5"/>
    <w:rsid w:val="37223EC7"/>
    <w:rsid w:val="37B0491D"/>
    <w:rsid w:val="37C476DC"/>
    <w:rsid w:val="385E79D6"/>
    <w:rsid w:val="38CA3981"/>
    <w:rsid w:val="38E076B6"/>
    <w:rsid w:val="395D596D"/>
    <w:rsid w:val="39B42ACB"/>
    <w:rsid w:val="3A4168C5"/>
    <w:rsid w:val="3A5422D0"/>
    <w:rsid w:val="3A547BC5"/>
    <w:rsid w:val="3A5B2654"/>
    <w:rsid w:val="3B43513F"/>
    <w:rsid w:val="3B6444B7"/>
    <w:rsid w:val="3B677177"/>
    <w:rsid w:val="3BC24CF1"/>
    <w:rsid w:val="3C0C520D"/>
    <w:rsid w:val="3C5A42F5"/>
    <w:rsid w:val="3C8F4FBB"/>
    <w:rsid w:val="3CF17268"/>
    <w:rsid w:val="3E172FE9"/>
    <w:rsid w:val="3E6B311D"/>
    <w:rsid w:val="3E880E1C"/>
    <w:rsid w:val="3ED70F15"/>
    <w:rsid w:val="3ED85B38"/>
    <w:rsid w:val="3EDB2612"/>
    <w:rsid w:val="3EFD5088"/>
    <w:rsid w:val="3EFE12AB"/>
    <w:rsid w:val="3F0C0D33"/>
    <w:rsid w:val="40066F1C"/>
    <w:rsid w:val="401A123C"/>
    <w:rsid w:val="404239BB"/>
    <w:rsid w:val="40B647B8"/>
    <w:rsid w:val="40E23767"/>
    <w:rsid w:val="40FD0D50"/>
    <w:rsid w:val="4160065F"/>
    <w:rsid w:val="41DE00A8"/>
    <w:rsid w:val="420D75BA"/>
    <w:rsid w:val="428066DB"/>
    <w:rsid w:val="42820CE1"/>
    <w:rsid w:val="42C2256A"/>
    <w:rsid w:val="42CE4B7E"/>
    <w:rsid w:val="42DE6918"/>
    <w:rsid w:val="430B48F1"/>
    <w:rsid w:val="43763C6E"/>
    <w:rsid w:val="44097515"/>
    <w:rsid w:val="447D5843"/>
    <w:rsid w:val="448D202C"/>
    <w:rsid w:val="44911F7C"/>
    <w:rsid w:val="44D46C15"/>
    <w:rsid w:val="44F6087E"/>
    <w:rsid w:val="454824EA"/>
    <w:rsid w:val="454D64EA"/>
    <w:rsid w:val="45721DBA"/>
    <w:rsid w:val="4576126A"/>
    <w:rsid w:val="45BF0032"/>
    <w:rsid w:val="45EE490D"/>
    <w:rsid w:val="46111DBC"/>
    <w:rsid w:val="46187E49"/>
    <w:rsid w:val="4728051C"/>
    <w:rsid w:val="473A326C"/>
    <w:rsid w:val="473E0F9D"/>
    <w:rsid w:val="47431DD4"/>
    <w:rsid w:val="47BB1DF3"/>
    <w:rsid w:val="484F319B"/>
    <w:rsid w:val="48804A97"/>
    <w:rsid w:val="490656FB"/>
    <w:rsid w:val="494851FB"/>
    <w:rsid w:val="4959137E"/>
    <w:rsid w:val="498D6392"/>
    <w:rsid w:val="499D0C19"/>
    <w:rsid w:val="49E00E9D"/>
    <w:rsid w:val="49FF2BF1"/>
    <w:rsid w:val="4A8946AA"/>
    <w:rsid w:val="4B5B69BC"/>
    <w:rsid w:val="4C014FAB"/>
    <w:rsid w:val="4C9B1558"/>
    <w:rsid w:val="4CA8146A"/>
    <w:rsid w:val="4CB822E9"/>
    <w:rsid w:val="4D116D44"/>
    <w:rsid w:val="4D3016DC"/>
    <w:rsid w:val="4D5D1DD9"/>
    <w:rsid w:val="4E9D3D41"/>
    <w:rsid w:val="4F051C19"/>
    <w:rsid w:val="4F774BFD"/>
    <w:rsid w:val="4FA93A7D"/>
    <w:rsid w:val="4FDE438F"/>
    <w:rsid w:val="4FDF2C15"/>
    <w:rsid w:val="50704D0D"/>
    <w:rsid w:val="507A2ED7"/>
    <w:rsid w:val="50BE1AE9"/>
    <w:rsid w:val="50CD3325"/>
    <w:rsid w:val="510948B3"/>
    <w:rsid w:val="511F08AE"/>
    <w:rsid w:val="51F478D1"/>
    <w:rsid w:val="52225FF4"/>
    <w:rsid w:val="529A6F0B"/>
    <w:rsid w:val="52A47253"/>
    <w:rsid w:val="530421AF"/>
    <w:rsid w:val="539C6A1E"/>
    <w:rsid w:val="54147D48"/>
    <w:rsid w:val="54296A9D"/>
    <w:rsid w:val="545F4356"/>
    <w:rsid w:val="546360D2"/>
    <w:rsid w:val="550A62D1"/>
    <w:rsid w:val="551E7632"/>
    <w:rsid w:val="55447F4B"/>
    <w:rsid w:val="55560FF1"/>
    <w:rsid w:val="55A33EB3"/>
    <w:rsid w:val="563038FF"/>
    <w:rsid w:val="56594A83"/>
    <w:rsid w:val="566665D7"/>
    <w:rsid w:val="56704CEE"/>
    <w:rsid w:val="5682460B"/>
    <w:rsid w:val="57864A49"/>
    <w:rsid w:val="57B31F7E"/>
    <w:rsid w:val="57BB4621"/>
    <w:rsid w:val="57C67352"/>
    <w:rsid w:val="57D90E7C"/>
    <w:rsid w:val="57FB2AEA"/>
    <w:rsid w:val="58425DD6"/>
    <w:rsid w:val="58B57195"/>
    <w:rsid w:val="58FF6057"/>
    <w:rsid w:val="596E71E2"/>
    <w:rsid w:val="59862BED"/>
    <w:rsid w:val="59925612"/>
    <w:rsid w:val="59AF42F3"/>
    <w:rsid w:val="59BA3F92"/>
    <w:rsid w:val="5A254A5B"/>
    <w:rsid w:val="5A8D3A63"/>
    <w:rsid w:val="5AE57878"/>
    <w:rsid w:val="5BA976DC"/>
    <w:rsid w:val="5BC34FBD"/>
    <w:rsid w:val="5BE2032A"/>
    <w:rsid w:val="5BE51413"/>
    <w:rsid w:val="5C4A0C67"/>
    <w:rsid w:val="5C4C606D"/>
    <w:rsid w:val="5D1D4D46"/>
    <w:rsid w:val="5D4B5C9D"/>
    <w:rsid w:val="5DA87171"/>
    <w:rsid w:val="5DFD1613"/>
    <w:rsid w:val="5E395462"/>
    <w:rsid w:val="5E456C9E"/>
    <w:rsid w:val="5F491AF3"/>
    <w:rsid w:val="5F6C1325"/>
    <w:rsid w:val="60237253"/>
    <w:rsid w:val="602F6CF6"/>
    <w:rsid w:val="61063BD2"/>
    <w:rsid w:val="610E6CDC"/>
    <w:rsid w:val="618F3301"/>
    <w:rsid w:val="62136A8C"/>
    <w:rsid w:val="622122EF"/>
    <w:rsid w:val="62445E99"/>
    <w:rsid w:val="62827A22"/>
    <w:rsid w:val="62996658"/>
    <w:rsid w:val="62F243F9"/>
    <w:rsid w:val="63033285"/>
    <w:rsid w:val="63326DAF"/>
    <w:rsid w:val="634C72FA"/>
    <w:rsid w:val="635B2FB0"/>
    <w:rsid w:val="63851EEB"/>
    <w:rsid w:val="63A56597"/>
    <w:rsid w:val="64BF7045"/>
    <w:rsid w:val="64EC7353"/>
    <w:rsid w:val="65044584"/>
    <w:rsid w:val="650C068B"/>
    <w:rsid w:val="652F53FD"/>
    <w:rsid w:val="654578CE"/>
    <w:rsid w:val="65724A73"/>
    <w:rsid w:val="65E9312A"/>
    <w:rsid w:val="65F76170"/>
    <w:rsid w:val="660739C1"/>
    <w:rsid w:val="66191A7F"/>
    <w:rsid w:val="66325E4E"/>
    <w:rsid w:val="66341720"/>
    <w:rsid w:val="664E4DFC"/>
    <w:rsid w:val="66CE3F19"/>
    <w:rsid w:val="66F85C45"/>
    <w:rsid w:val="670C0C45"/>
    <w:rsid w:val="67227BBE"/>
    <w:rsid w:val="67782367"/>
    <w:rsid w:val="67E667FA"/>
    <w:rsid w:val="685D4394"/>
    <w:rsid w:val="68C55C8D"/>
    <w:rsid w:val="68C959DD"/>
    <w:rsid w:val="68E157CB"/>
    <w:rsid w:val="69097B8E"/>
    <w:rsid w:val="69581684"/>
    <w:rsid w:val="6A0C3465"/>
    <w:rsid w:val="6A756CB4"/>
    <w:rsid w:val="6ACA0E1B"/>
    <w:rsid w:val="6B1057AC"/>
    <w:rsid w:val="6B165E9F"/>
    <w:rsid w:val="6B2C32D6"/>
    <w:rsid w:val="6B701F7E"/>
    <w:rsid w:val="6B927153"/>
    <w:rsid w:val="6C5C238A"/>
    <w:rsid w:val="6C836E1D"/>
    <w:rsid w:val="6D040490"/>
    <w:rsid w:val="6D1022EB"/>
    <w:rsid w:val="6DAA45F9"/>
    <w:rsid w:val="6E5A7CE9"/>
    <w:rsid w:val="6F1D57A3"/>
    <w:rsid w:val="6F584052"/>
    <w:rsid w:val="6F627DDE"/>
    <w:rsid w:val="6F8B5466"/>
    <w:rsid w:val="6FA0450C"/>
    <w:rsid w:val="702F22E0"/>
    <w:rsid w:val="70422EA1"/>
    <w:rsid w:val="708C519C"/>
    <w:rsid w:val="71C352DE"/>
    <w:rsid w:val="720F7ED4"/>
    <w:rsid w:val="73134572"/>
    <w:rsid w:val="73726DD1"/>
    <w:rsid w:val="738E14D1"/>
    <w:rsid w:val="73EF7986"/>
    <w:rsid w:val="74E12907"/>
    <w:rsid w:val="75083D6C"/>
    <w:rsid w:val="75222A67"/>
    <w:rsid w:val="75837C75"/>
    <w:rsid w:val="75A43979"/>
    <w:rsid w:val="75DB4891"/>
    <w:rsid w:val="762D1ABD"/>
    <w:rsid w:val="76336B32"/>
    <w:rsid w:val="76350890"/>
    <w:rsid w:val="76FA2696"/>
    <w:rsid w:val="774D0B18"/>
    <w:rsid w:val="77531033"/>
    <w:rsid w:val="77E26B7F"/>
    <w:rsid w:val="77FF7418"/>
    <w:rsid w:val="783E3069"/>
    <w:rsid w:val="7846027B"/>
    <w:rsid w:val="78D20B22"/>
    <w:rsid w:val="79F5428E"/>
    <w:rsid w:val="7A720695"/>
    <w:rsid w:val="7A867FFA"/>
    <w:rsid w:val="7A96057F"/>
    <w:rsid w:val="7BEC1A08"/>
    <w:rsid w:val="7BF41DC0"/>
    <w:rsid w:val="7C424297"/>
    <w:rsid w:val="7CB342D0"/>
    <w:rsid w:val="7CB700BB"/>
    <w:rsid w:val="7D64103E"/>
    <w:rsid w:val="7DFA42B6"/>
    <w:rsid w:val="7E0A1983"/>
    <w:rsid w:val="7E461E4E"/>
    <w:rsid w:val="7E8A04FE"/>
    <w:rsid w:val="7EAE3B5D"/>
    <w:rsid w:val="7EC35876"/>
    <w:rsid w:val="7EC553F6"/>
    <w:rsid w:val="7F213CD1"/>
    <w:rsid w:val="7F531DC3"/>
    <w:rsid w:val="7F646C86"/>
    <w:rsid w:val="7FAB0CF3"/>
    <w:rsid w:val="7FB91B1F"/>
    <w:rsid w:val="7FC465AF"/>
    <w:rsid w:val="7FE41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9"/>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5"/>
    <w:qFormat/>
    <w:uiPriority w:val="0"/>
    <w:pPr>
      <w:autoSpaceDE w:val="0"/>
      <w:autoSpaceDN w:val="0"/>
      <w:adjustRightInd w:val="0"/>
      <w:spacing w:before="50" w:beforeLines="50" w:after="50" w:afterLines="50" w:line="300" w:lineRule="auto"/>
      <w:jc w:val="left"/>
      <w:textAlignment w:val="baseline"/>
      <w:outlineLvl w:val="2"/>
    </w:pPr>
    <w:rPr>
      <w:rFonts w:ascii="黑体" w:eastAsia="宋体"/>
      <w:b/>
      <w:color w:val="000000"/>
      <w:kern w:val="0"/>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700" w:rightChars="700"/>
    </w:p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3"/>
    <w:basedOn w:val="1"/>
    <w:qFormat/>
    <w:uiPriority w:val="0"/>
    <w:pPr>
      <w:spacing w:after="120"/>
    </w:pPr>
    <w:rPr>
      <w:sz w:val="16"/>
      <w:szCs w:val="16"/>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rPr>
      <w:rFonts w:ascii="等线" w:hAnsi="等线" w:eastAsia="等线" w:cs="Times New Roman"/>
    </w:rPr>
  </w:style>
  <w:style w:type="character" w:customStyle="1" w:styleId="14">
    <w:name w:val="页眉 字符"/>
    <w:basedOn w:val="12"/>
    <w:link w:val="9"/>
    <w:qFormat/>
    <w:uiPriority w:val="99"/>
    <w:rPr>
      <w:sz w:val="18"/>
      <w:szCs w:val="18"/>
    </w:rPr>
  </w:style>
  <w:style w:type="character" w:customStyle="1" w:styleId="15">
    <w:name w:val="页脚 字符"/>
    <w:basedOn w:val="12"/>
    <w:link w:val="8"/>
    <w:qFormat/>
    <w:uiPriority w:val="99"/>
    <w:rPr>
      <w:sz w:val="18"/>
      <w:szCs w:val="18"/>
    </w:rPr>
  </w:style>
  <w:style w:type="character" w:customStyle="1" w:styleId="16">
    <w:name w:val="font01"/>
    <w:basedOn w:val="12"/>
    <w:qFormat/>
    <w:uiPriority w:val="0"/>
    <w:rPr>
      <w:rFonts w:hint="eastAsia" w:ascii="仿宋_GB2312" w:eastAsia="仿宋_GB2312" w:cs="仿宋_GB2312"/>
      <w:color w:val="000000"/>
      <w:sz w:val="24"/>
      <w:szCs w:val="24"/>
      <w:u w:val="none"/>
    </w:rPr>
  </w:style>
  <w:style w:type="paragraph" w:customStyle="1" w:styleId="17">
    <w:name w:val="我的正文段落"/>
    <w:basedOn w:val="1"/>
    <w:qFormat/>
    <w:uiPriority w:val="0"/>
    <w:pPr>
      <w:spacing w:before="120" w:after="120" w:line="400" w:lineRule="exact"/>
      <w:ind w:firstLine="200" w:firstLineChars="200"/>
    </w:pPr>
    <w:rPr>
      <w:rFonts w:ascii="宋体" w:hAnsi="宋体" w:cs="宋体"/>
      <w:sz w:val="22"/>
    </w:rPr>
  </w:style>
  <w:style w:type="paragraph" w:customStyle="1" w:styleId="18">
    <w:name w:val="小四文字"/>
    <w:basedOn w:val="1"/>
    <w:qFormat/>
    <w:uiPriority w:val="0"/>
    <w:pPr>
      <w:adjustRightInd w:val="0"/>
      <w:snapToGrid w:val="0"/>
      <w:spacing w:line="240" w:lineRule="atLeast"/>
    </w:pPr>
    <w:rPr>
      <w:sz w:val="24"/>
      <w:szCs w:val="28"/>
    </w:rPr>
  </w:style>
  <w:style w:type="character" w:customStyle="1" w:styleId="19">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233</Words>
  <Characters>1331</Characters>
  <Lines>11</Lines>
  <Paragraphs>3</Paragraphs>
  <TotalTime>25</TotalTime>
  <ScaleCrop>false</ScaleCrop>
  <LinksUpToDate>false</LinksUpToDate>
  <CharactersWithSpaces>1561</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Vicky</cp:lastModifiedBy>
  <cp:lastPrinted>2024-06-06T07:46:00Z</cp:lastPrinted>
  <dcterms:modified xsi:type="dcterms:W3CDTF">2026-05-13T09:43:01Z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