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西南航食招标代理机构服务整体方案</w:t>
      </w:r>
      <w:bookmarkStart w:id="0" w:name="_GoBack"/>
      <w:bookmarkEnd w:id="0"/>
    </w:p>
    <w:p>
      <w:pPr>
        <w:rPr>
          <w:rFonts w:hint="eastAsia"/>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一、项目背景</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sz w:val="32"/>
          <w:szCs w:val="32"/>
          <w:lang w:val="en-US" w:eastAsia="zh-CN"/>
        </w:rPr>
        <w:t>根据中航集团（国航股份）发布的《关于明确自主招标划定界限的通知》，</w:t>
      </w:r>
      <w:r>
        <w:rPr>
          <w:rFonts w:hint="eastAsia" w:ascii="仿宋_GB2312" w:hAnsi="仿宋_GB2312" w:eastAsia="仿宋_GB2312"/>
          <w:sz w:val="32"/>
          <w:szCs w:val="32"/>
        </w:rPr>
        <w:t>为规范</w:t>
      </w:r>
      <w:r>
        <w:rPr>
          <w:rFonts w:hint="eastAsia" w:ascii="仿宋_GB2312" w:hAnsi="仿宋_GB2312" w:eastAsia="仿宋_GB2312"/>
          <w:sz w:val="32"/>
          <w:szCs w:val="32"/>
          <w:lang w:val="en-US" w:eastAsia="zh-CN"/>
        </w:rPr>
        <w:t>西南航空食品有限公司</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以下简称“西南航食”或“公司”）</w:t>
      </w:r>
      <w:r>
        <w:rPr>
          <w:rFonts w:hint="eastAsia" w:ascii="仿宋_GB2312" w:hAnsi="仿宋_GB2312" w:eastAsia="仿宋_GB2312"/>
          <w:sz w:val="32"/>
          <w:szCs w:val="32"/>
        </w:rPr>
        <w:t>招标采购活动，提升招标</w:t>
      </w:r>
      <w:r>
        <w:rPr>
          <w:rFonts w:hint="eastAsia" w:ascii="仿宋_GB2312" w:hAnsi="仿宋_GB2312" w:eastAsia="仿宋_GB2312"/>
          <w:sz w:val="32"/>
          <w:szCs w:val="32"/>
          <w:lang w:val="en-US" w:eastAsia="zh-CN"/>
        </w:rPr>
        <w:t>工作</w:t>
      </w:r>
      <w:r>
        <w:rPr>
          <w:rFonts w:hint="eastAsia" w:ascii="仿宋_GB2312" w:hAnsi="仿宋_GB2312" w:eastAsia="仿宋_GB2312"/>
          <w:sz w:val="32"/>
          <w:szCs w:val="32"/>
        </w:rPr>
        <w:t>质量与效率，保障各类采购项目的顺利实施，现计划通过公开采购方</w:t>
      </w:r>
      <w:r>
        <w:rPr>
          <w:rFonts w:hint="eastAsia" w:ascii="仿宋_GB2312" w:hAnsi="仿宋_GB2312" w:eastAsia="仿宋_GB2312"/>
          <w:color w:val="auto"/>
          <w:sz w:val="32"/>
          <w:szCs w:val="32"/>
        </w:rPr>
        <w:t>式</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highlight w:val="none"/>
          <w:lang w:val="en-US" w:eastAsia="zh-CN"/>
        </w:rPr>
        <w:t>拟</w:t>
      </w:r>
      <w:r>
        <w:rPr>
          <w:rFonts w:hint="eastAsia" w:ascii="仿宋_GB2312" w:hAnsi="仿宋_GB2312" w:eastAsia="仿宋_GB2312" w:cs="仿宋_GB2312"/>
          <w:color w:val="auto"/>
          <w:sz w:val="32"/>
          <w:szCs w:val="32"/>
          <w:highlight w:val="none"/>
        </w:rPr>
        <w:t>遴选</w:t>
      </w:r>
      <w:r>
        <w:rPr>
          <w:rFonts w:hint="eastAsia" w:ascii="仿宋_GB2312" w:hAnsi="仿宋_GB2312" w:eastAsia="仿宋_GB2312" w:cs="仿宋_GB2312"/>
          <w:color w:val="auto"/>
          <w:sz w:val="32"/>
          <w:szCs w:val="32"/>
          <w:highlight w:val="none"/>
          <w:lang w:val="en-US" w:eastAsia="zh-CN"/>
        </w:rPr>
        <w:t>一主一备两家</w:t>
      </w:r>
      <w:r>
        <w:rPr>
          <w:rFonts w:hint="eastAsia" w:ascii="仿宋_GB2312" w:hAnsi="仿宋_GB2312" w:eastAsia="仿宋_GB2312" w:cs="仿宋_GB2312"/>
          <w:color w:val="auto"/>
          <w:sz w:val="32"/>
          <w:szCs w:val="32"/>
          <w:highlight w:val="none"/>
        </w:rPr>
        <w:t>招标代理机构，为公司未来食品</w:t>
      </w:r>
      <w:r>
        <w:rPr>
          <w:rFonts w:hint="eastAsia" w:ascii="仿宋_GB2312" w:hAnsi="仿宋_GB2312" w:eastAsia="仿宋_GB2312" w:cs="仿宋_GB2312"/>
          <w:color w:val="auto"/>
          <w:sz w:val="32"/>
          <w:szCs w:val="32"/>
          <w:highlight w:val="none"/>
          <w:lang w:val="en-US" w:eastAsia="zh-CN"/>
        </w:rPr>
        <w:t>原辅料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物资类</w:t>
      </w:r>
      <w:r>
        <w:rPr>
          <w:rFonts w:hint="eastAsia" w:ascii="仿宋_GB2312" w:hAnsi="仿宋_GB2312" w:eastAsia="仿宋_GB2312" w:cs="仿宋_GB2312"/>
          <w:color w:val="auto"/>
          <w:sz w:val="32"/>
          <w:szCs w:val="32"/>
          <w:highlight w:val="none"/>
        </w:rPr>
        <w:t>、设备</w:t>
      </w:r>
      <w:r>
        <w:rPr>
          <w:rFonts w:hint="eastAsia" w:ascii="仿宋_GB2312" w:hAnsi="仿宋_GB2312" w:eastAsia="仿宋_GB2312" w:cs="仿宋_GB2312"/>
          <w:color w:val="auto"/>
          <w:sz w:val="32"/>
          <w:szCs w:val="32"/>
          <w:highlight w:val="none"/>
          <w:lang w:val="en-US" w:eastAsia="zh-CN"/>
        </w:rPr>
        <w:t>类、</w:t>
      </w:r>
      <w:r>
        <w:rPr>
          <w:rFonts w:hint="eastAsia" w:ascii="仿宋_GB2312" w:hAnsi="仿宋_GB2312" w:eastAsia="仿宋_GB2312" w:cs="仿宋_GB2312"/>
          <w:color w:val="auto"/>
          <w:sz w:val="32"/>
          <w:szCs w:val="32"/>
          <w:highlight w:val="none"/>
        </w:rPr>
        <w:t>服务采购等招标项目提供专业代理服务。</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1.项目名称：西南航空食品有限公司委托招投标服务项目</w:t>
      </w:r>
    </w:p>
    <w:p>
      <w:pPr>
        <w:ind w:firstLine="640" w:firstLineChars="200"/>
        <w:rPr>
          <w:rFonts w:hint="eastAsia" w:ascii="仿宋_GB2312" w:hAnsi="微软雅黑" w:eastAsia="仿宋_GB2312" w:cs="微软雅黑"/>
          <w:color w:val="auto"/>
          <w:kern w:val="0"/>
          <w:sz w:val="32"/>
          <w:szCs w:val="32"/>
          <w:highlight w:val="none"/>
          <w:lang w:eastAsia="zh-CN"/>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微软雅黑"/>
          <w:color w:val="000000" w:themeColor="text1"/>
          <w:kern w:val="0"/>
          <w:sz w:val="32"/>
          <w:szCs w:val="32"/>
          <w14:textFill>
            <w14:solidFill>
              <w14:schemeClr w14:val="tx1"/>
            </w14:solidFill>
          </w14:textFill>
        </w:rPr>
        <w:t>合同期限：自合同签订之日起</w:t>
      </w:r>
      <w:r>
        <w:rPr>
          <w:rFonts w:hint="eastAsia" w:ascii="仿宋_GB2312" w:hAnsi="微软雅黑" w:eastAsia="仿宋_GB2312" w:cs="微软雅黑"/>
          <w:color w:val="auto"/>
          <w:kern w:val="0"/>
          <w:sz w:val="32"/>
          <w:szCs w:val="32"/>
          <w:highlight w:val="none"/>
          <w:lang w:val="en-US" w:eastAsia="zh-CN"/>
        </w:rPr>
        <w:t>1</w:t>
      </w:r>
      <w:r>
        <w:rPr>
          <w:rFonts w:hint="eastAsia" w:ascii="仿宋_GB2312" w:hAnsi="微软雅黑" w:eastAsia="仿宋_GB2312" w:cs="微软雅黑"/>
          <w:color w:val="auto"/>
          <w:kern w:val="0"/>
          <w:sz w:val="32"/>
          <w:szCs w:val="32"/>
          <w:highlight w:val="none"/>
        </w:rPr>
        <w:t>年</w:t>
      </w:r>
      <w:r>
        <w:rPr>
          <w:rFonts w:hint="eastAsia" w:ascii="仿宋_GB2312" w:hAnsi="微软雅黑" w:eastAsia="仿宋_GB2312" w:cs="微软雅黑"/>
          <w:color w:val="auto"/>
          <w:kern w:val="0"/>
          <w:sz w:val="32"/>
          <w:szCs w:val="32"/>
          <w:highlight w:val="none"/>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二、采购内容及要求</w:t>
      </w:r>
    </w:p>
    <w:p>
      <w:pPr>
        <w:ind w:firstLine="640" w:firstLineChars="200"/>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（一）服务内容</w:t>
      </w:r>
    </w:p>
    <w:p>
      <w:pPr>
        <w:ind w:firstLine="640" w:firstLineChars="200"/>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食品原辅料、物资类、设备类、服务类采购等项目的全流程招标代理服务。</w:t>
      </w:r>
    </w:p>
    <w:p>
      <w:pPr>
        <w:ind w:firstLine="640" w:firstLineChars="200"/>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（二）服务范围</w:t>
      </w:r>
    </w:p>
    <w:p>
      <w:pPr>
        <w:ind w:firstLine="640" w:firstLineChars="200"/>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代理服务应包括但不限于：编制招标文件、发布招标公告、组织样品评审工作、组织开标、评标、定标活动、发布中标通知书、协助合同签订及招标资料归档、合同订立、协助检查审计等全流程服务。</w:t>
      </w:r>
    </w:p>
    <w:p>
      <w:pPr>
        <w:ind w:firstLine="640" w:firstLineChars="200"/>
        <w:rPr>
          <w:rFonts w:hint="default"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（三）服务要求</w:t>
      </w:r>
    </w:p>
    <w:p>
      <w:pPr>
        <w:ind w:firstLine="640" w:firstLineChars="200"/>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1.招标代理工作应遵守下列与招标投标相关的法律、法规和文件规定：</w:t>
      </w:r>
    </w:p>
    <w:p>
      <w:pPr>
        <w:ind w:firstLine="640" w:firstLineChars="200"/>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（1）国家和地方法律、法规；</w:t>
      </w:r>
    </w:p>
    <w:p>
      <w:pPr>
        <w:ind w:firstLine="640" w:firstLineChars="200"/>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（2）相关行业部门和地方政府规章及规范性文件；</w:t>
      </w:r>
    </w:p>
    <w:p>
      <w:pPr>
        <w:ind w:firstLine="640" w:firstLineChars="200"/>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（3）招标代理委托合同；</w:t>
      </w:r>
    </w:p>
    <w:p>
      <w:pPr>
        <w:ind w:firstLine="640" w:firstLineChars="200"/>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（4）中航集团（国航股份）、中翼航空投资有限公司暨北京航空食品有限公司及西南航食相关采购体系文件。</w:t>
      </w:r>
    </w:p>
    <w:p>
      <w:pPr>
        <w:ind w:firstLine="640" w:firstLineChars="200"/>
        <w:rPr>
          <w:rFonts w:hint="default"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2.招标代理工作应满足下列与招标投标相关工作要求：</w:t>
      </w:r>
    </w:p>
    <w:p>
      <w:pPr>
        <w:ind w:firstLine="640" w:firstLineChars="200"/>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（1）前期需求对接与准备，招标代理需在3-5个工作日，在收到采购需求后协助完善相关工作，需求一经确认，不得随意变更。</w:t>
      </w:r>
    </w:p>
    <w:p>
      <w:pPr>
        <w:ind w:firstLine="640" w:firstLineChars="200"/>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（2）编制招标文件及审核，招标代理需在10个工作日内，在收到招标文件后协助完善招标文件，确保资料符合招标投标相关法律法规及项目实际需求。</w:t>
      </w:r>
    </w:p>
    <w:p>
      <w:pPr>
        <w:ind w:firstLine="640" w:firstLineChars="200"/>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3）招标组织实施：严格按照法定程序组织开标、评标工作，规范组建评标委员会，做好开标、评标过程的现场组织、记录工作，确保开标公开、评标公正；及时处理招标过程中的质疑、投诉，主动配合招标人及相关监管部门的监督检查。</w:t>
      </w:r>
    </w:p>
    <w:p>
      <w:pPr>
        <w:ind w:firstLine="640" w:firstLineChars="200"/>
        <w:rPr>
          <w:rFonts w:hint="default"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（4）采购实施周期：招标代理需在55个工作日内完成招标实施工作。</w:t>
      </w:r>
    </w:p>
    <w:p>
      <w:pPr>
        <w:ind w:firstLine="640" w:firstLineChars="200"/>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5）资料归档与总结：招标工作结束后，招标代理需在15个工作日内完成全部招标资料的整理、归档工作，形成完整的项目招标档案并移交我司；同时提交招标工作总结报告，明确工作推进情况、存在问题及改进建议。</w:t>
      </w:r>
    </w:p>
    <w:p>
      <w:pPr>
        <w:ind w:firstLine="640" w:firstLineChars="200"/>
        <w:rPr>
          <w:rFonts w:hint="eastAsia" w:ascii="黑体" w:hAnsi="黑体" w:eastAsia="黑体" w:cs="黑体"/>
          <w:sz w:val="32"/>
          <w:szCs w:val="32"/>
          <w:highlight w:val="none"/>
          <w:lang w:val="en-US" w:eastAsia="zh-CN"/>
        </w:rPr>
      </w:pPr>
      <w:r>
        <w:rPr>
          <w:rFonts w:hint="eastAsia" w:ascii="仿宋_GB2312" w:hAnsi="仿宋_GB2312" w:eastAsia="仿宋_GB2312"/>
          <w:sz w:val="32"/>
          <w:szCs w:val="32"/>
          <w:highlight w:val="none"/>
          <w:lang w:val="en-US" w:eastAsia="zh-CN"/>
        </w:rPr>
        <w:t>3.关注食品原材料、成品及半成品的招标代理服务，如有样品，则需组织样品评审；需加工或冷冻冷藏的样品，可由公司提供评审及储存场地，其他样品评审由招标代理机构自行组织。</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三、供应商资质要求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（一）资质要求</w:t>
      </w:r>
    </w:p>
    <w:p>
      <w:pPr>
        <w:ind w:firstLine="640" w:firstLineChars="200"/>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具有独立法人资格，持有有效的营业执照，营业执照经营范围明确包含“招标代理业务”，能够独立承担民事责任，与行政机关无隶属关系或其他利益关联，未被列入企业经营异常名录、严重违法失信名单。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（二）业绩要求</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1.2023年1月1日至今，中标金额在500万元人民币（含）以上的工程类招标代理项目业绩不得少于5项（含）。</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2.2023年1月1日至今，中标金额在</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万元人民币（含）以上的食品或酒饮的招标代理项目业绩不得少于5项（含）。</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3.2023年1月1日至今，中标金额在500万元人民币（含）以上的服务类招标代理项目业绩不得少于5项（含）。</w:t>
      </w:r>
    </w:p>
    <w:p>
      <w:pPr>
        <w:rPr>
          <w:rFonts w:hint="default" w:ascii="仿宋_GB2312" w:hAnsi="仿宋_GB2312" w:eastAsia="仿宋_GB2312" w:cs="仿宋_GB2312"/>
          <w:sz w:val="32"/>
          <w:szCs w:val="32"/>
          <w:highlight w:val="yellow"/>
          <w:lang w:val="en-US" w:eastAsia="zh-CN"/>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（三）合作团队资质要求</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1.响应人资质</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（1）响应人具有相关行政主管部门颁发的相关资质/资格证书，提供有效证书复印件。</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（2）基本从业条件：</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A.独立能力：具有独立承担民事责任的能力。</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B.固定场所：拥有独立办公场所和必备的设施。</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C.专业人员：拥有不少于5名熟悉法规、能编制文件和组织评标的专职人员。</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D.合规记录：公司、法人及人员无因泄密、串通等严重违法行为被禁止从业。</w:t>
      </w:r>
    </w:p>
    <w:p>
      <w:pPr>
        <w:ind w:firstLine="640" w:firstLineChars="200"/>
        <w:rPr>
          <w:rFonts w:hint="eastAsia" w:ascii="仿宋_GB2312" w:hAnsi="仿宋_GB2312" w:eastAsia="仿宋_GB2312"/>
          <w:sz w:val="32"/>
          <w:szCs w:val="32"/>
          <w:highlight w:val="yellow"/>
          <w:lang w:val="en-US" w:eastAsia="zh-CN"/>
        </w:rPr>
      </w:pPr>
      <w:r>
        <w:rPr>
          <w:rFonts w:hint="eastAsia" w:ascii="仿宋_GB2312" w:hAnsi="仿宋_GB2312" w:eastAsia="仿宋_GB2312"/>
          <w:sz w:val="32"/>
          <w:szCs w:val="32"/>
          <w:lang w:val="en-US" w:eastAsia="zh-CN"/>
        </w:rPr>
        <w:t>E.内部管理：具备完善的内部管理制度。</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2.人员资质</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供应商须派1个项目组以备随时提供服务，项目组不得少于6人。</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食品原辅料、物资类、设备类、服务类等项目组须至少2人具备招标师资质或中级招采人员专业技术能力；项目负责人须具备招标师资质或中级招采人员专业技术能力。供应商应具备相应规模行业的评标专家库，其中食品相关类评标专家不少于50人。</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sz w:val="32"/>
          <w:szCs w:val="32"/>
        </w:rPr>
        <w:t>四、费用及结算</w:t>
      </w:r>
      <w:r>
        <w:rPr>
          <w:rFonts w:hint="eastAsia" w:ascii="黑体" w:hAnsi="黑体" w:eastAsia="黑体" w:cs="黑体"/>
          <w:b w:val="0"/>
          <w:bCs w:val="0"/>
          <w:sz w:val="32"/>
          <w:szCs w:val="32"/>
          <w:lang w:val="en-US" w:eastAsia="zh-CN"/>
        </w:rPr>
        <w:t>（包括招标及竞争性谈判项目）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（一）招标</w:t>
      </w:r>
      <w:r>
        <w:rPr>
          <w:rFonts w:hint="eastAsia" w:ascii="仿宋_GB2312" w:hAnsi="仿宋_GB2312" w:eastAsia="仿宋_GB2312" w:cs="仿宋_GB2312"/>
          <w:sz w:val="32"/>
          <w:szCs w:val="32"/>
          <w:lang w:val="en-US" w:eastAsia="zh-CN"/>
        </w:rPr>
        <w:t>代理费</w:t>
      </w:r>
    </w:p>
    <w:p>
      <w:pPr>
        <w:ind w:firstLine="640" w:firstLineChars="200"/>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sz w:val="32"/>
          <w:szCs w:val="32"/>
        </w:rPr>
        <w:t>以委托项目的中标金额作为收费基准，参照国家计委《招标代理服务收费管理暂行办法》（计价格【2002】1980号）、国家发展改革委办公厅《关于招标代理收费有关问题的通知》（发改办价格【2003】857号）、国家发展改革委《关于降低部分建设项目收费标准规范收费行为等有关问题的通知》（发改价格【2011】534号）规定的计费基数标准，结合国家发展改革委《关于进一步放开建设项目专业服务价格的通知》（发改价格【2015】299号）及国家发展改革委等六部门《工程建设项目招标代理机构管理暂行办法》（2025年第34号令） 等现行政策要求，</w:t>
      </w:r>
      <w:r>
        <w:rPr>
          <w:rFonts w:hint="eastAsia" w:ascii="仿宋_GB2312" w:hAnsi="仿宋_GB2312" w:eastAsia="仿宋_GB2312" w:cs="仿宋_GB2312"/>
          <w:sz w:val="32"/>
          <w:szCs w:val="32"/>
          <w:lang w:val="en-US" w:eastAsia="zh-CN"/>
        </w:rPr>
        <w:t>委托项目的招标及竞争性谈判代理服务费以上述国家有关规定基数为准，</w:t>
      </w:r>
      <w:r>
        <w:rPr>
          <w:rFonts w:hint="eastAsia" w:ascii="仿宋_GB2312" w:hAnsi="仿宋_GB2312" w:eastAsia="仿宋_GB2312" w:cs="仿宋_GB2312"/>
          <w:color w:val="auto"/>
          <w:sz w:val="32"/>
          <w:szCs w:val="32"/>
          <w:highlight w:val="none"/>
        </w:rPr>
        <w:t>向下浮动百分比进行计算。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2.招标代理机构在招标</w:t>
      </w:r>
      <w:r>
        <w:rPr>
          <w:rFonts w:hint="eastAsia" w:ascii="仿宋_GB2312" w:hAnsi="仿宋_GB2312" w:eastAsia="仿宋_GB2312" w:cs="仿宋_GB2312"/>
          <w:sz w:val="32"/>
          <w:szCs w:val="32"/>
          <w:lang w:val="en-US" w:eastAsia="zh-CN"/>
        </w:rPr>
        <w:t>及竞争性谈判</w:t>
      </w:r>
      <w:r>
        <w:rPr>
          <w:rFonts w:hint="eastAsia" w:ascii="仿宋_GB2312" w:hAnsi="仿宋_GB2312" w:eastAsia="仿宋_GB2312" w:cs="仿宋_GB2312"/>
          <w:sz w:val="32"/>
          <w:szCs w:val="32"/>
        </w:rPr>
        <w:t>代理过程中需承担以下费用：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（1）招标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文件和资格预审文件的编制、印刷、装订费。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（2）刊登招标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公告的公告费。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（3）开标、评标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场地费。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（4）招标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文件专家审核费。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（5）评标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期间专家食宿费用和评审费。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（6）外地专家赴评标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现场的交通费。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（7）其他应由招标代理机构承担的合理费用。</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3.招标代理费不设最低收费。</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4.最终无采购结果的项目不收取招标代理费。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（二）招标代理费结算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1.支付人：</w:t>
      </w:r>
      <w:r>
        <w:rPr>
          <w:rFonts w:hint="eastAsia" w:ascii="仿宋_GB2312" w:hAnsi="仿宋_GB2312" w:eastAsia="仿宋_GB2312" w:cs="仿宋_GB2312"/>
          <w:sz w:val="32"/>
          <w:szCs w:val="32"/>
          <w:lang w:val="en-US" w:eastAsia="zh-CN"/>
        </w:rPr>
        <w:t>招标及竞争性谈判代理费</w:t>
      </w:r>
      <w:r>
        <w:rPr>
          <w:rFonts w:hint="eastAsia" w:ascii="仿宋_GB2312" w:hAnsi="仿宋_GB2312" w:eastAsia="仿宋_GB2312" w:cs="仿宋_GB2312"/>
          <w:sz w:val="32"/>
          <w:szCs w:val="32"/>
        </w:rPr>
        <w:t>由中标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供应商支付。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2.结算依据：</w:t>
      </w:r>
      <w:r>
        <w:rPr>
          <w:rFonts w:hint="eastAsia" w:ascii="仿宋_GB2312" w:hAnsi="仿宋_GB2312" w:eastAsia="仿宋_GB2312" w:cs="仿宋_GB2312"/>
          <w:sz w:val="32"/>
          <w:szCs w:val="32"/>
          <w:lang w:val="en-US" w:eastAsia="zh-CN"/>
        </w:rPr>
        <w:t>招标及竞争性谈判代理费以委托项目的中标（选）金额为取费基数;</w:t>
      </w:r>
      <w:r>
        <w:rPr>
          <w:rFonts w:hint="eastAsia" w:ascii="仿宋_GB2312" w:hAnsi="仿宋_GB2312" w:eastAsia="仿宋_GB2312" w:cs="仿宋_GB2312"/>
          <w:sz w:val="32"/>
          <w:szCs w:val="32"/>
        </w:rPr>
        <w:t>如签订框架协议或单价合同，招标</w:t>
      </w:r>
      <w:r>
        <w:rPr>
          <w:rFonts w:hint="eastAsia" w:ascii="仿宋_GB2312" w:hAnsi="仿宋_GB2312" w:eastAsia="仿宋_GB2312" w:cs="仿宋_GB2312"/>
          <w:sz w:val="32"/>
          <w:szCs w:val="32"/>
          <w:lang w:val="en-US" w:eastAsia="zh-CN"/>
        </w:rPr>
        <w:t>及竞争性谈判代理费以</w:t>
      </w:r>
      <w:r>
        <w:rPr>
          <w:rFonts w:hint="eastAsia" w:ascii="仿宋_GB2312" w:hAnsi="仿宋_GB2312" w:eastAsia="仿宋_GB2312" w:cs="仿宋_GB2312"/>
          <w:sz w:val="32"/>
          <w:szCs w:val="32"/>
        </w:rPr>
        <w:t>协议期内预估采购金额为取费基数。</w:t>
      </w:r>
    </w:p>
    <w:p>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五、其他说明</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（一）供应商应具备设计适配我司的食品原</w:t>
      </w:r>
      <w:r>
        <w:rPr>
          <w:rFonts w:hint="eastAsia" w:ascii="仿宋_GB2312" w:hAnsi="仿宋_GB2312" w:eastAsia="仿宋_GB2312" w:cs="仿宋_GB2312"/>
          <w:color w:val="auto"/>
          <w:sz w:val="32"/>
          <w:szCs w:val="32"/>
          <w:highlight w:val="none"/>
          <w:lang w:val="en-US" w:eastAsia="zh-CN"/>
        </w:rPr>
        <w:t>辅</w:t>
      </w:r>
      <w:r>
        <w:rPr>
          <w:rFonts w:hint="eastAsia" w:ascii="仿宋_GB2312" w:hAnsi="仿宋_GB2312" w:eastAsia="仿宋_GB2312" w:cs="仿宋_GB2312"/>
          <w:color w:val="auto"/>
          <w:sz w:val="32"/>
          <w:szCs w:val="32"/>
          <w:highlight w:val="none"/>
        </w:rPr>
        <w:t>料</w:t>
      </w:r>
      <w:r>
        <w:rPr>
          <w:rFonts w:hint="eastAsia" w:ascii="仿宋_GB2312" w:hAnsi="仿宋_GB2312" w:eastAsia="仿宋_GB2312"/>
          <w:color w:val="auto"/>
          <w:sz w:val="32"/>
          <w:szCs w:val="32"/>
          <w:highlight w:val="none"/>
          <w:lang w:val="en-US" w:eastAsia="zh-CN"/>
        </w:rPr>
        <w:t>、物资类、设备类、服务类等项目</w:t>
      </w:r>
      <w:r>
        <w:rPr>
          <w:rFonts w:hint="eastAsia" w:ascii="仿宋_GB2312" w:hAnsi="仿宋_GB2312" w:eastAsia="仿宋_GB2312" w:cs="仿宋_GB2312"/>
          <w:color w:val="auto"/>
          <w:sz w:val="32"/>
          <w:szCs w:val="32"/>
          <w:highlight w:val="none"/>
        </w:rPr>
        <w:t>招投标流程方案的能力。</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（二）建议采购中选供应商1家，备选供应商1家。</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（三）本次申请增加日常预算类采购计划。</w:t>
      </w:r>
    </w:p>
    <w:p>
      <w:pPr>
        <w:ind w:firstLine="640" w:firstLineChars="200"/>
        <w:rPr>
          <w:rFonts w:hint="default" w:ascii="仿宋_GB2312" w:hAnsi="仿宋_GB2312" w:eastAsia="仿宋_GB2312"/>
          <w:sz w:val="32"/>
          <w:szCs w:val="32"/>
          <w:lang w:val="en-US" w:eastAsia="zh-CN"/>
        </w:rPr>
      </w:pPr>
      <w:r>
        <w:rPr>
          <w:rFonts w:hint="eastAsia" w:ascii="黑体" w:hAnsi="黑体" w:eastAsia="黑体" w:cs="黑体"/>
          <w:sz w:val="32"/>
          <w:szCs w:val="32"/>
          <w:lang w:val="en-US" w:eastAsia="zh-CN"/>
        </w:rPr>
        <w:t>六、履约考核</w:t>
      </w:r>
    </w:p>
    <w:tbl>
      <w:tblPr>
        <w:tblStyle w:val="5"/>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2460"/>
        <w:gridCol w:w="3450"/>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tcPr>
          <w:p>
            <w:pPr>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考核类别</w:t>
            </w:r>
          </w:p>
        </w:tc>
        <w:tc>
          <w:tcPr>
            <w:tcW w:w="2460" w:type="dxa"/>
          </w:tcPr>
          <w:p>
            <w:pPr>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考核内容与方式</w:t>
            </w:r>
          </w:p>
        </w:tc>
        <w:tc>
          <w:tcPr>
            <w:tcW w:w="3450" w:type="dxa"/>
          </w:tcPr>
          <w:p>
            <w:pPr>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分值</w:t>
            </w:r>
          </w:p>
        </w:tc>
        <w:tc>
          <w:tcPr>
            <w:tcW w:w="2106" w:type="dxa"/>
          </w:tcPr>
          <w:p>
            <w:pPr>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677" w:type="dxa"/>
          </w:tcPr>
          <w:p>
            <w:pPr>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考核构成</w:t>
            </w:r>
          </w:p>
        </w:tc>
        <w:tc>
          <w:tcPr>
            <w:tcW w:w="8016" w:type="dxa"/>
            <w:gridSpan w:val="3"/>
          </w:tcPr>
          <w:p>
            <w:pPr>
              <w:ind w:firstLine="560" w:firstLineChars="200"/>
              <w:jc w:val="center"/>
              <w:rPr>
                <w:rFonts w:hint="default" w:ascii="仿宋_GB2312" w:hAnsi="仿宋_GB2312" w:eastAsia="仿宋_GB2312"/>
                <w:sz w:val="28"/>
                <w:szCs w:val="28"/>
                <w:lang w:val="en-US" w:eastAsia="zh-CN"/>
              </w:rPr>
            </w:pPr>
            <w:r>
              <w:rPr>
                <w:rFonts w:hint="default" w:ascii="仿宋_GB2312" w:hAnsi="仿宋_GB2312" w:eastAsia="仿宋_GB2312"/>
                <w:sz w:val="28"/>
                <w:szCs w:val="28"/>
                <w:lang w:val="en-US" w:eastAsia="zh-CN"/>
              </w:rPr>
              <w:t>履约考核分为日常考核及年终考核。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tcPr>
          <w:p>
            <w:pPr>
              <w:jc w:val="center"/>
              <w:rPr>
                <w:rFonts w:hint="default" w:ascii="仿宋_GB2312" w:hAnsi="仿宋_GB2312" w:eastAsia="仿宋_GB2312"/>
                <w:sz w:val="28"/>
                <w:szCs w:val="28"/>
                <w:lang w:val="en-US" w:eastAsia="zh-CN"/>
              </w:rPr>
            </w:pPr>
            <w:r>
              <w:rPr>
                <w:rFonts w:hint="default" w:ascii="仿宋_GB2312" w:hAnsi="仿宋_GB2312" w:eastAsia="仿宋_GB2312"/>
                <w:sz w:val="28"/>
                <w:szCs w:val="28"/>
                <w:lang w:val="en-US" w:eastAsia="zh-CN"/>
              </w:rPr>
              <w:t>日常考核</w:t>
            </w:r>
          </w:p>
        </w:tc>
        <w:tc>
          <w:tcPr>
            <w:tcW w:w="2460" w:type="dxa"/>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以项目为单位进行差错考核</w:t>
            </w:r>
          </w:p>
        </w:tc>
        <w:tc>
          <w:tcPr>
            <w:tcW w:w="3450" w:type="dxa"/>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一般差错：每达到年度委托项目总数的5%，扣除乙方当年对应出错的项目罚款500元/次。</w:t>
            </w:r>
            <w:r>
              <w:rPr>
                <w:rFonts w:hint="eastAsia" w:ascii="仿宋_GB2312" w:hAnsi="仿宋_GB2312" w:eastAsia="仿宋_GB2312"/>
                <w:sz w:val="28"/>
                <w:szCs w:val="28"/>
                <w:lang w:val="en-US" w:eastAsia="zh-CN"/>
              </w:rPr>
              <w:br w:type="textWrapping"/>
            </w:r>
            <w:r>
              <w:rPr>
                <w:rFonts w:hint="eastAsia" w:ascii="仿宋_GB2312" w:hAnsi="仿宋_GB2312" w:eastAsia="仿宋_GB2312"/>
                <w:sz w:val="28"/>
                <w:szCs w:val="28"/>
                <w:lang w:val="en-US" w:eastAsia="zh-CN"/>
              </w:rPr>
              <w:t>严重差错：每次扣除乙方当年对应出错的项目罚款1000元/次。</w:t>
            </w:r>
          </w:p>
        </w:tc>
        <w:tc>
          <w:tcPr>
            <w:tcW w:w="2106" w:type="dxa"/>
          </w:tcPr>
          <w:p>
            <w:pP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此为业务扣除机制，与考核扣分并行。</w:t>
            </w:r>
          </w:p>
          <w:p>
            <w:pPr>
              <w:ind w:firstLine="560" w:firstLineChars="200"/>
              <w:rPr>
                <w:rFonts w:hint="default" w:ascii="仿宋_GB2312" w:hAns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1677" w:type="dxa"/>
          </w:tcPr>
          <w:p>
            <w:pPr>
              <w:jc w:val="center"/>
              <w:rPr>
                <w:rFonts w:hint="default" w:ascii="仿宋_GB2312" w:hAnsi="仿宋_GB2312" w:eastAsia="仿宋_GB2312"/>
                <w:sz w:val="28"/>
                <w:szCs w:val="28"/>
                <w:lang w:val="en-US" w:eastAsia="zh-CN"/>
              </w:rPr>
            </w:pPr>
            <w:r>
              <w:rPr>
                <w:rFonts w:hint="default" w:ascii="仿宋_GB2312" w:hAnsi="仿宋_GB2312" w:eastAsia="仿宋_GB2312"/>
                <w:sz w:val="28"/>
                <w:szCs w:val="28"/>
                <w:lang w:val="en-US" w:eastAsia="zh-CN"/>
              </w:rPr>
              <w:t>日常考核</w:t>
            </w:r>
          </w:p>
        </w:tc>
        <w:tc>
          <w:tcPr>
            <w:tcW w:w="2460" w:type="dxa"/>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1.发生一般差错，每次扣5分。</w:t>
            </w:r>
            <w:r>
              <w:rPr>
                <w:rFonts w:hint="eastAsia" w:ascii="仿宋_GB2312" w:hAnsi="仿宋_GB2312" w:eastAsia="仿宋_GB2312"/>
                <w:sz w:val="28"/>
                <w:szCs w:val="28"/>
                <w:lang w:val="en-US" w:eastAsia="zh-CN"/>
              </w:rPr>
              <w:br w:type="textWrapping"/>
            </w:r>
            <w:r>
              <w:rPr>
                <w:rFonts w:hint="eastAsia" w:ascii="仿宋_GB2312" w:hAnsi="仿宋_GB2312" w:eastAsia="仿宋_GB2312"/>
                <w:sz w:val="28"/>
                <w:szCs w:val="28"/>
                <w:lang w:val="en-US" w:eastAsia="zh-CN"/>
              </w:rPr>
              <w:t>2.发生严重差错，每次扣50分。</w:t>
            </w:r>
          </w:p>
        </w:tc>
        <w:tc>
          <w:tcPr>
            <w:tcW w:w="3450" w:type="dxa"/>
          </w:tcPr>
          <w:p>
            <w:pPr>
              <w:rPr>
                <w:rFonts w:hint="default" w:ascii="仿宋_GB2312" w:hAnsi="仿宋_GB2312" w:eastAsia="仿宋_GB2312"/>
                <w:sz w:val="28"/>
                <w:szCs w:val="28"/>
                <w:lang w:val="en-US" w:eastAsia="zh-CN"/>
              </w:rPr>
            </w:pPr>
            <w:r>
              <w:rPr>
                <w:rFonts w:hint="default" w:ascii="仿宋_GB2312" w:hAnsi="仿宋_GB2312" w:eastAsia="仿宋_GB2312"/>
                <w:sz w:val="28"/>
                <w:szCs w:val="28"/>
                <w:lang w:val="en-US" w:eastAsia="zh-CN"/>
              </w:rPr>
              <w:t>满分100分，按实际差错扣分。</w:t>
            </w:r>
            <w:r>
              <w:rPr>
                <w:rFonts w:hint="eastAsia" w:ascii="仿宋_GB2312" w:hAnsi="仿宋_GB2312" w:eastAsia="仿宋_GB2312"/>
                <w:sz w:val="28"/>
                <w:szCs w:val="28"/>
                <w:lang w:val="en-US" w:eastAsia="zh-CN"/>
              </w:rPr>
              <w:t>（可详见附件一）</w:t>
            </w:r>
          </w:p>
        </w:tc>
        <w:tc>
          <w:tcPr>
            <w:tcW w:w="2106" w:type="dxa"/>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占履约考核总分的70%。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7" w:type="dxa"/>
          </w:tcPr>
          <w:p>
            <w:pPr>
              <w:jc w:val="center"/>
              <w:rPr>
                <w:rFonts w:hint="default" w:ascii="仿宋_GB2312" w:hAnsi="仿宋_GB2312" w:eastAsia="仿宋_GB2312"/>
                <w:sz w:val="28"/>
                <w:szCs w:val="28"/>
                <w:lang w:val="en-US" w:eastAsia="zh-CN"/>
              </w:rPr>
            </w:pPr>
            <w:r>
              <w:rPr>
                <w:rFonts w:hint="default" w:ascii="仿宋_GB2312" w:hAnsi="仿宋_GB2312" w:eastAsia="仿宋_GB2312"/>
                <w:sz w:val="28"/>
                <w:szCs w:val="28"/>
                <w:lang w:val="en-US" w:eastAsia="zh-CN"/>
              </w:rPr>
              <w:t>年终考核</w:t>
            </w:r>
          </w:p>
        </w:tc>
        <w:tc>
          <w:tcPr>
            <w:tcW w:w="2460" w:type="dxa"/>
          </w:tcPr>
          <w:p>
            <w:pPr>
              <w:numPr>
                <w:ilvl w:val="0"/>
                <w:numId w:val="0"/>
              </w:num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结合日常每年进行一次年度考核</w:t>
            </w:r>
          </w:p>
        </w:tc>
        <w:tc>
          <w:tcPr>
            <w:tcW w:w="3450" w:type="dxa"/>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满分100分。</w:t>
            </w:r>
          </w:p>
        </w:tc>
        <w:tc>
          <w:tcPr>
            <w:tcW w:w="2106" w:type="dxa"/>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占履约考核总分的30%。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tcPr>
          <w:p>
            <w:pPr>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考核权重</w:t>
            </w:r>
          </w:p>
        </w:tc>
        <w:tc>
          <w:tcPr>
            <w:tcW w:w="5910" w:type="dxa"/>
            <w:gridSpan w:val="2"/>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履约考核总得分=日常考核得分×70%+年度考核得分×30%。</w:t>
            </w:r>
          </w:p>
        </w:tc>
        <w:tc>
          <w:tcPr>
            <w:tcW w:w="2106" w:type="dxa"/>
          </w:tcPr>
          <w:p>
            <w:pPr>
              <w:rPr>
                <w:rFonts w:hint="default" w:ascii="仿宋_GB2312" w:hAnsi="仿宋_GB2312" w:eastAsia="仿宋_GB2312"/>
                <w:sz w:val="28"/>
                <w:szCs w:val="28"/>
                <w:lang w:val="en-US" w:eastAsia="zh-CN"/>
              </w:rPr>
            </w:pPr>
            <w:r>
              <w:rPr>
                <w:rFonts w:hint="default" w:ascii="仿宋_GB2312" w:hAnsi="仿宋_GB2312" w:eastAsia="仿宋_GB2312"/>
                <w:sz w:val="28"/>
                <w:szCs w:val="28"/>
                <w:lang w:val="en-US" w:eastAsia="zh-CN"/>
              </w:rPr>
              <w:t>综合计算最终考核结果。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677" w:type="dxa"/>
          </w:tcPr>
          <w:p>
            <w:pPr>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考核结果应用</w:t>
            </w:r>
          </w:p>
        </w:tc>
        <w:tc>
          <w:tcPr>
            <w:tcW w:w="5910" w:type="dxa"/>
            <w:gridSpan w:val="2"/>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甲方有权根据乙方的年度履约考核结果，确定乙方后续合作的参选资格。</w:t>
            </w:r>
          </w:p>
        </w:tc>
        <w:tc>
          <w:tcPr>
            <w:tcW w:w="2106" w:type="dxa"/>
          </w:tcPr>
          <w:p>
            <w:pPr>
              <w:rPr>
                <w:rFonts w:hint="default" w:ascii="仿宋_GB2312" w:hAnsi="仿宋_GB2312" w:eastAsia="仿宋_GB2312"/>
                <w:sz w:val="28"/>
                <w:szCs w:val="28"/>
                <w:lang w:val="en-US" w:eastAsia="zh-CN"/>
              </w:rPr>
            </w:pPr>
            <w:r>
              <w:rPr>
                <w:rFonts w:hint="default" w:ascii="仿宋_GB2312" w:hAnsi="仿宋_GB2312" w:eastAsia="仿宋_GB2312"/>
                <w:sz w:val="28"/>
                <w:szCs w:val="28"/>
                <w:lang w:val="en-US" w:eastAsia="zh-CN"/>
              </w:rPr>
              <w:t>考核结果与未来</w:t>
            </w:r>
            <w:r>
              <w:rPr>
                <w:rFonts w:hint="eastAsia" w:ascii="仿宋_GB2312" w:hAnsi="仿宋_GB2312" w:eastAsia="仿宋_GB2312"/>
                <w:sz w:val="28"/>
                <w:szCs w:val="28"/>
                <w:lang w:val="en-US" w:eastAsia="zh-CN"/>
              </w:rPr>
              <w:t>参选资格</w:t>
            </w:r>
            <w:r>
              <w:rPr>
                <w:rFonts w:hint="default" w:ascii="仿宋_GB2312" w:hAnsi="仿宋_GB2312" w:eastAsia="仿宋_GB2312"/>
                <w:sz w:val="28"/>
                <w:szCs w:val="28"/>
                <w:lang w:val="en-US" w:eastAsia="zh-CN"/>
              </w:rPr>
              <w:t>挂钩。</w:t>
            </w:r>
          </w:p>
        </w:tc>
      </w:tr>
    </w:tbl>
    <w:p>
      <w:pPr>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妥否，请批示。</w:t>
      </w:r>
    </w:p>
    <w:p>
      <w:pPr>
        <w:rPr>
          <w:rFonts w:hint="eastAsia" w:ascii="仿宋_GB2312" w:hAnsi="仿宋_GB2312" w:eastAsia="仿宋_GB2312"/>
          <w:sz w:val="32"/>
          <w:szCs w:val="32"/>
          <w:lang w:val="en-US" w:eastAsia="zh-CN"/>
        </w:rPr>
      </w:pPr>
    </w:p>
    <w:p>
      <w:pPr>
        <w:rPr>
          <w:rFonts w:hint="eastAsia" w:ascii="仿宋_GB2312" w:hAnsi="仿宋_GB2312" w:eastAsia="仿宋_GB2312"/>
          <w:sz w:val="32"/>
          <w:szCs w:val="32"/>
          <w:lang w:val="en-US" w:eastAsia="zh-CN"/>
        </w:rPr>
      </w:pPr>
    </w:p>
    <w:p>
      <w:pPr>
        <w:rPr>
          <w:rFonts w:hint="eastAsia" w:ascii="仿宋_GB2312" w:hAnsi="仿宋_GB2312" w:eastAsia="仿宋_GB2312"/>
          <w:sz w:val="32"/>
          <w:szCs w:val="32"/>
          <w:lang w:val="en-US" w:eastAsia="zh-CN"/>
        </w:rPr>
      </w:pPr>
    </w:p>
    <w:p>
      <w:pPr>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附件一：</w:t>
      </w:r>
    </w:p>
    <w:p>
      <w:pPr>
        <w:jc w:val="center"/>
        <w:rPr>
          <w:rFonts w:hint="default" w:ascii="黑体" w:hAnsi="黑体" w:eastAsia="黑体"/>
          <w:b w:val="0"/>
          <w:bCs/>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招标代理机构日常考核表</w:t>
      </w:r>
    </w:p>
    <w:p>
      <w:pPr>
        <w:widowControl/>
        <w:jc w:val="both"/>
        <w:rPr>
          <w:rFonts w:hint="default" w:ascii="黑体" w:hAnsi="黑体" w:eastAsia="黑体"/>
          <w:b w:val="0"/>
          <w:bCs/>
          <w:color w:val="000000" w:themeColor="text1"/>
          <w:sz w:val="32"/>
          <w:szCs w:val="32"/>
          <w:lang w:val="en-US" w:eastAsia="zh-CN"/>
          <w14:textFill>
            <w14:solidFill>
              <w14:schemeClr w14:val="tx1"/>
            </w14:solidFill>
          </w14:textFill>
        </w:rPr>
      </w:pPr>
    </w:p>
    <w:p>
      <w:pPr>
        <w:widowControl/>
        <w:jc w:val="both"/>
        <w:rPr>
          <w:rFonts w:hint="default" w:ascii="黑体" w:hAnsi="黑体" w:eastAsia="黑体"/>
          <w:b w:val="0"/>
          <w:bCs/>
          <w:color w:val="000000" w:themeColor="text1"/>
          <w:sz w:val="32"/>
          <w:szCs w:val="32"/>
          <w:lang w:val="en-US" w:eastAsia="zh-CN"/>
          <w14:textFill>
            <w14:solidFill>
              <w14:schemeClr w14:val="tx1"/>
            </w14:solidFill>
          </w14:textFill>
        </w:rPr>
      </w:pPr>
    </w:p>
    <w:tbl>
      <w:tblPr>
        <w:tblStyle w:val="5"/>
        <w:tblpPr w:leftFromText="180" w:rightFromText="180" w:vertAnchor="page" w:horzAnchor="page" w:tblpX="1785" w:tblpY="279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8"/>
        <w:gridCol w:w="5528"/>
        <w:gridCol w:w="1384"/>
        <w:gridCol w:w="14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9747" w:type="dxa"/>
            <w:gridSpan w:val="4"/>
            <w:vAlign w:val="center"/>
          </w:tcPr>
          <w:p>
            <w:pPr>
              <w:jc w:val="left"/>
              <w:rPr>
                <w:rFonts w:asciiTheme="minorEastAsia" w:hAnsiTheme="minorEastAsia"/>
                <w:b/>
                <w:sz w:val="28"/>
                <w:szCs w:val="28"/>
              </w:rPr>
            </w:pPr>
            <w:r>
              <w:rPr>
                <w:rFonts w:hint="eastAsia" w:asciiTheme="minorEastAsia" w:hAnsiTheme="minorEastAsia"/>
                <w:b/>
                <w:sz w:val="28"/>
                <w:szCs w:val="28"/>
              </w:rPr>
              <w:t>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18" w:type="dxa"/>
            <w:vAlign w:val="center"/>
          </w:tcPr>
          <w:p>
            <w:pPr>
              <w:jc w:val="center"/>
              <w:rPr>
                <w:rFonts w:asciiTheme="minorEastAsia" w:hAnsiTheme="minorEastAsia"/>
                <w:b/>
                <w:sz w:val="28"/>
                <w:szCs w:val="28"/>
              </w:rPr>
            </w:pPr>
            <w:r>
              <w:rPr>
                <w:rFonts w:hint="eastAsia" w:asciiTheme="minorEastAsia" w:hAnsiTheme="minorEastAsia"/>
                <w:b/>
                <w:sz w:val="28"/>
                <w:szCs w:val="28"/>
              </w:rPr>
              <w:t>差错等级</w:t>
            </w:r>
          </w:p>
        </w:tc>
        <w:tc>
          <w:tcPr>
            <w:tcW w:w="5528" w:type="dxa"/>
            <w:vAlign w:val="center"/>
          </w:tcPr>
          <w:p>
            <w:pPr>
              <w:jc w:val="center"/>
              <w:rPr>
                <w:rFonts w:asciiTheme="minorEastAsia" w:hAnsiTheme="minorEastAsia"/>
                <w:b/>
                <w:sz w:val="28"/>
                <w:szCs w:val="28"/>
              </w:rPr>
            </w:pPr>
            <w:r>
              <w:rPr>
                <w:rFonts w:hint="eastAsia" w:asciiTheme="minorEastAsia" w:hAnsiTheme="minorEastAsia"/>
                <w:b/>
                <w:sz w:val="28"/>
                <w:szCs w:val="28"/>
              </w:rPr>
              <w:t>考核指标</w:t>
            </w:r>
          </w:p>
        </w:tc>
        <w:tc>
          <w:tcPr>
            <w:tcW w:w="1384" w:type="dxa"/>
            <w:vAlign w:val="center"/>
          </w:tcPr>
          <w:p>
            <w:pPr>
              <w:jc w:val="center"/>
              <w:rPr>
                <w:rFonts w:asciiTheme="minorEastAsia" w:hAnsiTheme="minorEastAsia"/>
                <w:b/>
                <w:sz w:val="28"/>
                <w:szCs w:val="28"/>
              </w:rPr>
            </w:pPr>
            <w:r>
              <w:rPr>
                <w:rFonts w:hint="eastAsia" w:asciiTheme="minorEastAsia" w:hAnsiTheme="minorEastAsia"/>
                <w:b/>
                <w:sz w:val="28"/>
                <w:szCs w:val="28"/>
              </w:rPr>
              <w:t>是</w:t>
            </w:r>
          </w:p>
        </w:tc>
        <w:tc>
          <w:tcPr>
            <w:tcW w:w="1417" w:type="dxa"/>
            <w:vAlign w:val="center"/>
          </w:tcPr>
          <w:p>
            <w:pPr>
              <w:jc w:val="center"/>
              <w:rPr>
                <w:rFonts w:asciiTheme="minorEastAsia" w:hAnsiTheme="minorEastAsia"/>
                <w:b/>
                <w:sz w:val="28"/>
                <w:szCs w:val="28"/>
              </w:rPr>
            </w:pPr>
            <w:r>
              <w:rPr>
                <w:rFonts w:hint="eastAsia" w:asciiTheme="minorEastAsia" w:hAnsiTheme="minorEastAsia"/>
                <w:b/>
                <w:sz w:val="28"/>
                <w:szCs w:val="28"/>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18" w:type="dxa"/>
            <w:vMerge w:val="restart"/>
            <w:vAlign w:val="center"/>
          </w:tcPr>
          <w:p>
            <w:pPr>
              <w:jc w:val="center"/>
              <w:rPr>
                <w:rFonts w:asciiTheme="minorEastAsia" w:hAnsiTheme="minorEastAsia"/>
                <w:sz w:val="28"/>
                <w:szCs w:val="28"/>
              </w:rPr>
            </w:pPr>
            <w:r>
              <w:rPr>
                <w:rFonts w:hint="eastAsia" w:asciiTheme="minorEastAsia" w:hAnsiTheme="minorEastAsia"/>
                <w:sz w:val="28"/>
                <w:szCs w:val="28"/>
              </w:rPr>
              <w:t>一般差错</w:t>
            </w:r>
          </w:p>
        </w:tc>
        <w:tc>
          <w:tcPr>
            <w:tcW w:w="5528" w:type="dxa"/>
            <w:vAlign w:val="center"/>
          </w:tcPr>
          <w:p>
            <w:pPr>
              <w:spacing w:line="400" w:lineRule="exact"/>
              <w:jc w:val="left"/>
              <w:rPr>
                <w:rFonts w:asciiTheme="minorEastAsia" w:hAnsiTheme="minorEastAsia"/>
                <w:sz w:val="28"/>
                <w:szCs w:val="28"/>
              </w:rPr>
            </w:pPr>
            <w:r>
              <w:rPr>
                <w:rFonts w:hint="eastAsia" w:asciiTheme="minorEastAsia" w:hAnsiTheme="minorEastAsia"/>
                <w:sz w:val="28"/>
                <w:szCs w:val="28"/>
              </w:rPr>
              <w:t>未在</w:t>
            </w:r>
            <w:r>
              <w:rPr>
                <w:rFonts w:hint="eastAsia" w:asciiTheme="minorEastAsia" w:hAnsiTheme="minorEastAsia"/>
                <w:sz w:val="28"/>
                <w:szCs w:val="28"/>
                <w:lang w:val="en-US" w:eastAsia="zh-CN"/>
              </w:rPr>
              <w:t>甲方</w:t>
            </w:r>
            <w:r>
              <w:rPr>
                <w:rFonts w:hint="eastAsia" w:asciiTheme="minorEastAsia" w:hAnsiTheme="minorEastAsia"/>
                <w:sz w:val="28"/>
                <w:szCs w:val="28"/>
              </w:rPr>
              <w:t>规定时间内</w:t>
            </w:r>
            <w:r>
              <w:rPr>
                <w:rFonts w:hint="eastAsia" w:asciiTheme="minorEastAsia" w:hAnsiTheme="minorEastAsia"/>
                <w:sz w:val="28"/>
                <w:szCs w:val="28"/>
                <w:lang w:val="en-US" w:eastAsia="zh-CN"/>
              </w:rPr>
              <w:t>协助完善采购需求以及</w:t>
            </w:r>
            <w:r>
              <w:rPr>
                <w:rFonts w:hint="eastAsia" w:asciiTheme="minorEastAsia" w:hAnsiTheme="minorEastAsia"/>
                <w:sz w:val="28"/>
                <w:szCs w:val="28"/>
              </w:rPr>
              <w:t>招标文件编制</w:t>
            </w:r>
          </w:p>
        </w:tc>
        <w:tc>
          <w:tcPr>
            <w:tcW w:w="1384" w:type="dxa"/>
            <w:vAlign w:val="center"/>
          </w:tcPr>
          <w:p>
            <w:pPr>
              <w:jc w:val="center"/>
              <w:rPr>
                <w:rFonts w:asciiTheme="minorEastAsia" w:hAnsiTheme="minorEastAsia"/>
                <w:sz w:val="28"/>
                <w:szCs w:val="28"/>
              </w:rPr>
            </w:pPr>
          </w:p>
        </w:tc>
        <w:tc>
          <w:tcPr>
            <w:tcW w:w="1417" w:type="dxa"/>
            <w:vAlign w:val="center"/>
          </w:tcPr>
          <w:p>
            <w:pPr>
              <w:jc w:val="center"/>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18" w:type="dxa"/>
            <w:vMerge w:val="continue"/>
            <w:vAlign w:val="center"/>
          </w:tcPr>
          <w:p>
            <w:pPr>
              <w:jc w:val="center"/>
              <w:rPr>
                <w:rFonts w:asciiTheme="minorEastAsia" w:hAnsiTheme="minorEastAsia"/>
                <w:sz w:val="28"/>
                <w:szCs w:val="28"/>
              </w:rPr>
            </w:pPr>
          </w:p>
        </w:tc>
        <w:tc>
          <w:tcPr>
            <w:tcW w:w="5528" w:type="dxa"/>
            <w:vAlign w:val="center"/>
          </w:tcPr>
          <w:p>
            <w:pPr>
              <w:spacing w:line="400" w:lineRule="exact"/>
              <w:jc w:val="left"/>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sz w:val="28"/>
                <w:szCs w:val="28"/>
              </w:rPr>
              <w:t>评标现场管理不严</w:t>
            </w:r>
            <w:r>
              <w:rPr>
                <w:rFonts w:hint="eastAsia" w:asciiTheme="minorEastAsia" w:hAnsiTheme="minorEastAsia"/>
                <w:sz w:val="28"/>
                <w:szCs w:val="28"/>
                <w:lang w:eastAsia="zh-CN"/>
              </w:rPr>
              <w:t>；</w:t>
            </w:r>
            <w:r>
              <w:rPr>
                <w:rFonts w:hint="eastAsia" w:asciiTheme="minorEastAsia" w:hAnsiTheme="minorEastAsia"/>
                <w:sz w:val="28"/>
                <w:szCs w:val="28"/>
              </w:rPr>
              <w:t>开评标过程存在瑕疵</w:t>
            </w:r>
          </w:p>
        </w:tc>
        <w:tc>
          <w:tcPr>
            <w:tcW w:w="1384" w:type="dxa"/>
            <w:vAlign w:val="center"/>
          </w:tcPr>
          <w:p>
            <w:pPr>
              <w:jc w:val="center"/>
              <w:rPr>
                <w:rFonts w:asciiTheme="minorEastAsia" w:hAnsiTheme="minorEastAsia"/>
                <w:sz w:val="28"/>
                <w:szCs w:val="28"/>
              </w:rPr>
            </w:pPr>
          </w:p>
        </w:tc>
        <w:tc>
          <w:tcPr>
            <w:tcW w:w="1417" w:type="dxa"/>
            <w:vAlign w:val="center"/>
          </w:tcPr>
          <w:p>
            <w:pPr>
              <w:jc w:val="center"/>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6" w:hRule="atLeast"/>
          <w:jc w:val="center"/>
        </w:trPr>
        <w:tc>
          <w:tcPr>
            <w:tcW w:w="1418" w:type="dxa"/>
            <w:vMerge w:val="continue"/>
            <w:vAlign w:val="center"/>
          </w:tcPr>
          <w:p>
            <w:pPr>
              <w:jc w:val="center"/>
              <w:rPr>
                <w:rFonts w:asciiTheme="minorEastAsia" w:hAnsiTheme="minorEastAsia"/>
                <w:sz w:val="28"/>
                <w:szCs w:val="28"/>
              </w:rPr>
            </w:pPr>
          </w:p>
        </w:tc>
        <w:tc>
          <w:tcPr>
            <w:tcW w:w="5528" w:type="dxa"/>
            <w:vAlign w:val="center"/>
          </w:tcPr>
          <w:p>
            <w:pPr>
              <w:spacing w:line="400" w:lineRule="exact"/>
              <w:jc w:val="left"/>
              <w:rPr>
                <w:rFonts w:hint="default" w:asciiTheme="minorEastAsia" w:hAnsiTheme="minorEastAsia" w:eastAsiaTheme="minorEastAsia"/>
                <w:sz w:val="28"/>
                <w:szCs w:val="28"/>
                <w:lang w:val="en-US" w:eastAsia="zh-CN"/>
              </w:rPr>
            </w:pPr>
            <w:r>
              <w:rPr>
                <w:rFonts w:hint="eastAsia" w:asciiTheme="minorEastAsia" w:hAnsiTheme="minorEastAsia"/>
                <w:sz w:val="28"/>
                <w:szCs w:val="28"/>
              </w:rPr>
              <w:t>项目完成后未按时</w:t>
            </w:r>
            <w:r>
              <w:rPr>
                <w:rFonts w:hint="eastAsia" w:asciiTheme="minorEastAsia" w:hAnsiTheme="minorEastAsia"/>
                <w:sz w:val="28"/>
                <w:szCs w:val="28"/>
                <w:lang w:val="en-US" w:eastAsia="zh-CN"/>
              </w:rPr>
              <w:t>提交归档资料以及材料有缺失</w:t>
            </w:r>
          </w:p>
        </w:tc>
        <w:tc>
          <w:tcPr>
            <w:tcW w:w="1384" w:type="dxa"/>
            <w:vAlign w:val="center"/>
          </w:tcPr>
          <w:p>
            <w:pPr>
              <w:jc w:val="center"/>
              <w:rPr>
                <w:rFonts w:asciiTheme="minorEastAsia" w:hAnsiTheme="minorEastAsia"/>
                <w:sz w:val="28"/>
                <w:szCs w:val="28"/>
              </w:rPr>
            </w:pPr>
          </w:p>
        </w:tc>
        <w:tc>
          <w:tcPr>
            <w:tcW w:w="1417" w:type="dxa"/>
            <w:vAlign w:val="center"/>
          </w:tcPr>
          <w:p>
            <w:pPr>
              <w:jc w:val="center"/>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jc w:val="center"/>
        </w:trPr>
        <w:tc>
          <w:tcPr>
            <w:tcW w:w="1418" w:type="dxa"/>
            <w:vMerge w:val="restart"/>
            <w:vAlign w:val="center"/>
          </w:tcPr>
          <w:p>
            <w:pPr>
              <w:jc w:val="center"/>
              <w:rPr>
                <w:rFonts w:asciiTheme="minorEastAsia" w:hAnsiTheme="minorEastAsia"/>
                <w:sz w:val="28"/>
                <w:szCs w:val="28"/>
              </w:rPr>
            </w:pPr>
            <w:r>
              <w:rPr>
                <w:rFonts w:hint="eastAsia" w:asciiTheme="minorEastAsia" w:hAnsiTheme="minorEastAsia"/>
                <w:sz w:val="28"/>
                <w:szCs w:val="28"/>
              </w:rPr>
              <w:t>严重差错</w:t>
            </w:r>
          </w:p>
        </w:tc>
        <w:tc>
          <w:tcPr>
            <w:tcW w:w="5528" w:type="dxa"/>
            <w:vAlign w:val="center"/>
          </w:tcPr>
          <w:p>
            <w:pPr>
              <w:spacing w:line="400" w:lineRule="exact"/>
              <w:jc w:val="left"/>
              <w:rPr>
                <w:rFonts w:asciiTheme="minorEastAsia" w:hAnsiTheme="minorEastAsia"/>
                <w:sz w:val="28"/>
                <w:szCs w:val="28"/>
              </w:rPr>
            </w:pPr>
            <w:r>
              <w:rPr>
                <w:rFonts w:hint="eastAsia" w:asciiTheme="minorEastAsia" w:hAnsiTheme="minorEastAsia"/>
                <w:sz w:val="28"/>
                <w:szCs w:val="28"/>
              </w:rPr>
              <w:t>评标算分错误导致评标结果发生实质性改变；</w:t>
            </w:r>
          </w:p>
        </w:tc>
        <w:tc>
          <w:tcPr>
            <w:tcW w:w="1384" w:type="dxa"/>
            <w:vAlign w:val="center"/>
          </w:tcPr>
          <w:p>
            <w:pPr>
              <w:jc w:val="center"/>
              <w:rPr>
                <w:rFonts w:asciiTheme="minorEastAsia" w:hAnsiTheme="minorEastAsia"/>
                <w:sz w:val="28"/>
                <w:szCs w:val="28"/>
              </w:rPr>
            </w:pPr>
          </w:p>
        </w:tc>
        <w:tc>
          <w:tcPr>
            <w:tcW w:w="1417" w:type="dxa"/>
            <w:vAlign w:val="center"/>
          </w:tcPr>
          <w:p>
            <w:pPr>
              <w:jc w:val="center"/>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18" w:type="dxa"/>
            <w:vMerge w:val="continue"/>
            <w:vAlign w:val="center"/>
          </w:tcPr>
          <w:p>
            <w:pPr>
              <w:jc w:val="center"/>
              <w:rPr>
                <w:rFonts w:asciiTheme="minorEastAsia" w:hAnsiTheme="minorEastAsia"/>
                <w:sz w:val="28"/>
                <w:szCs w:val="28"/>
              </w:rPr>
            </w:pPr>
          </w:p>
        </w:tc>
        <w:tc>
          <w:tcPr>
            <w:tcW w:w="5528" w:type="dxa"/>
            <w:vAlign w:val="center"/>
          </w:tcPr>
          <w:p>
            <w:pPr>
              <w:spacing w:line="400" w:lineRule="exact"/>
              <w:jc w:val="left"/>
              <w:rPr>
                <w:rFonts w:asciiTheme="minorEastAsia" w:hAnsiTheme="minorEastAsia"/>
                <w:sz w:val="28"/>
                <w:szCs w:val="28"/>
              </w:rPr>
            </w:pPr>
            <w:r>
              <w:rPr>
                <w:rFonts w:hint="eastAsia" w:asciiTheme="minorEastAsia" w:hAnsiTheme="minorEastAsia"/>
                <w:sz w:val="28"/>
                <w:szCs w:val="28"/>
              </w:rPr>
              <w:t>因代理机构自身原因导致有效投诉。</w:t>
            </w:r>
          </w:p>
        </w:tc>
        <w:tc>
          <w:tcPr>
            <w:tcW w:w="1384" w:type="dxa"/>
            <w:vAlign w:val="center"/>
          </w:tcPr>
          <w:p>
            <w:pPr>
              <w:jc w:val="center"/>
              <w:rPr>
                <w:rFonts w:asciiTheme="minorEastAsia" w:hAnsiTheme="minorEastAsia"/>
                <w:sz w:val="28"/>
                <w:szCs w:val="28"/>
              </w:rPr>
            </w:pPr>
          </w:p>
        </w:tc>
        <w:tc>
          <w:tcPr>
            <w:tcW w:w="1417" w:type="dxa"/>
            <w:vAlign w:val="center"/>
          </w:tcPr>
          <w:p>
            <w:pPr>
              <w:jc w:val="center"/>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18" w:type="dxa"/>
            <w:vMerge w:val="restart"/>
            <w:vAlign w:val="center"/>
          </w:tcPr>
          <w:p>
            <w:pPr>
              <w:jc w:val="center"/>
              <w:rPr>
                <w:rFonts w:asciiTheme="minorEastAsia" w:hAnsiTheme="minorEastAsia"/>
                <w:sz w:val="28"/>
                <w:szCs w:val="28"/>
              </w:rPr>
            </w:pPr>
            <w:r>
              <w:rPr>
                <w:rFonts w:hint="eastAsia" w:asciiTheme="minorEastAsia" w:hAnsiTheme="minorEastAsia"/>
                <w:sz w:val="28"/>
                <w:szCs w:val="28"/>
              </w:rPr>
              <w:t>错误数量</w:t>
            </w:r>
          </w:p>
        </w:tc>
        <w:tc>
          <w:tcPr>
            <w:tcW w:w="8329" w:type="dxa"/>
            <w:gridSpan w:val="3"/>
            <w:vAlign w:val="center"/>
          </w:tcPr>
          <w:p>
            <w:pPr>
              <w:jc w:val="left"/>
              <w:rPr>
                <w:rFonts w:asciiTheme="minorEastAsia" w:hAnsiTheme="minorEastAsia"/>
                <w:sz w:val="28"/>
                <w:szCs w:val="28"/>
              </w:rPr>
            </w:pPr>
            <w:r>
              <w:rPr>
                <w:rFonts w:hint="eastAsia" w:asciiTheme="minorEastAsia" w:hAnsiTheme="minorEastAsia"/>
                <w:sz w:val="28"/>
                <w:szCs w:val="28"/>
              </w:rPr>
              <w:t>一般差错：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18" w:type="dxa"/>
            <w:vMerge w:val="continue"/>
            <w:vAlign w:val="center"/>
          </w:tcPr>
          <w:p>
            <w:pPr>
              <w:jc w:val="left"/>
              <w:rPr>
                <w:rFonts w:asciiTheme="minorEastAsia" w:hAnsiTheme="minorEastAsia"/>
                <w:sz w:val="28"/>
                <w:szCs w:val="28"/>
              </w:rPr>
            </w:pPr>
          </w:p>
        </w:tc>
        <w:tc>
          <w:tcPr>
            <w:tcW w:w="8329" w:type="dxa"/>
            <w:gridSpan w:val="3"/>
            <w:vAlign w:val="center"/>
          </w:tcPr>
          <w:p>
            <w:pPr>
              <w:jc w:val="left"/>
              <w:rPr>
                <w:rFonts w:asciiTheme="minorEastAsia" w:hAnsiTheme="minorEastAsia"/>
                <w:sz w:val="28"/>
                <w:szCs w:val="28"/>
              </w:rPr>
            </w:pPr>
            <w:r>
              <w:rPr>
                <w:rFonts w:hint="eastAsia" w:asciiTheme="minorEastAsia" w:hAnsiTheme="minorEastAsia"/>
                <w:sz w:val="28"/>
                <w:szCs w:val="28"/>
              </w:rPr>
              <w:t>严重差错：</w:t>
            </w:r>
          </w:p>
        </w:tc>
      </w:tr>
    </w:tbl>
    <w:p>
      <w:pPr>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E60FF"/>
    <w:rsid w:val="02B32502"/>
    <w:rsid w:val="11CF208A"/>
    <w:rsid w:val="17DD40E9"/>
    <w:rsid w:val="1FA2432D"/>
    <w:rsid w:val="2293227C"/>
    <w:rsid w:val="25856261"/>
    <w:rsid w:val="319C734A"/>
    <w:rsid w:val="4C1073A1"/>
    <w:rsid w:val="51E02FCB"/>
    <w:rsid w:val="703860DC"/>
    <w:rsid w:val="EDC77E92"/>
    <w:rsid w:val="FEF67F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2026-04-07T23:17:00Z</dcterms:created>
  <dc:creator>Lenovo</dc:creator>
  <cp:lastModifiedBy>Administrator</cp:lastModifiedBy>
  <dcterms:modified xsi:type="dcterms:W3CDTF">2026-05-09T07:25:49Z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8B1A73916E13C0D5E4DBFE691453C8C8_43</vt:lpwstr>
  </property>
</Properties>
</file>