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31144">
      <w:pPr>
        <w:widowControl/>
        <w:numPr>
          <w:ilvl w:val="0"/>
          <w:numId w:val="2"/>
        </w:numPr>
        <w:spacing w:line="400" w:lineRule="exact"/>
        <w:rPr>
          <w:rFonts w:hint="default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采购内容</w:t>
      </w:r>
      <w:r>
        <w:rPr>
          <w:rFonts w:hint="eastAsia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8台5P天花机变频冷暖空调</w:t>
      </w:r>
    </w:p>
    <w:p w14:paraId="1BDBC6C4">
      <w:pPr>
        <w:widowControl/>
        <w:numPr>
          <w:ilvl w:val="0"/>
          <w:numId w:val="2"/>
        </w:numPr>
        <w:spacing w:line="400" w:lineRule="exact"/>
        <w:rPr>
          <w:rFonts w:hint="default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交付或实施</w:t>
      </w:r>
      <w:r>
        <w:rPr>
          <w:rFonts w:hint="default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>地点：</w:t>
      </w:r>
    </w:p>
    <w:p w14:paraId="66CBE944">
      <w:pPr>
        <w:widowControl/>
        <w:numPr>
          <w:ilvl w:val="0"/>
          <w:numId w:val="0"/>
        </w:numPr>
        <w:spacing w:line="400" w:lineRule="exact"/>
        <w:ind w:firstLine="420" w:firstLineChars="200"/>
        <w:rPr>
          <w:rFonts w:hint="default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>天府基地：</w:t>
      </w:r>
      <w:r>
        <w:rPr>
          <w:rFonts w:hint="eastAsia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>天府</w:t>
      </w:r>
      <w:r>
        <w:rPr>
          <w:rFonts w:hint="default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>空勤食堂和地勤食堂（成都天府国际机场凌腾路8</w:t>
      </w:r>
      <w:r>
        <w:rPr>
          <w:rFonts w:hint="eastAsia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>号）</w:t>
      </w:r>
    </w:p>
    <w:p w14:paraId="21F523AF">
      <w:pPr>
        <w:widowControl/>
        <w:numPr>
          <w:ilvl w:val="0"/>
          <w:numId w:val="2"/>
        </w:numPr>
        <w:spacing w:line="400" w:lineRule="exact"/>
        <w:rPr>
          <w:rFonts w:hint="default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auto"/>
          <w:sz w:val="21"/>
          <w:szCs w:val="21"/>
          <w:highlight w:val="none"/>
          <w:u w:val="none"/>
          <w:lang w:val="en-US" w:eastAsia="zh-CN"/>
        </w:rPr>
        <w:t xml:space="preserve">空调及设备标准 </w:t>
      </w:r>
    </w:p>
    <w:p w14:paraId="701D0EB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空调类型:天花机；匹数:5匹；变频冷暖空调；使用面积:54-80㎡；额定制冷量:12000W±1000w； 额定制热量:13000W±1000w；制冷功率:5000W±100w；制热功率:4000W±100w；</w:t>
      </w:r>
    </w:p>
    <w:p w14:paraId="02DC34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2、空调能效等级需达到国家一级能效标准，制冷剂符合环保要求（如 R3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2/R410a等环保型制冷剂），运行过程中低能耗、低噪音，适配厨房长期连续作业的能耗管控需求；</w:t>
      </w:r>
    </w:p>
    <w:p w14:paraId="56BB249A">
      <w:pPr>
        <w:pStyle w:val="11"/>
        <w:numPr>
          <w:ilvl w:val="0"/>
          <w:numId w:val="0"/>
        </w:numPr>
        <w:ind w:leftChars="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3、符合国家、行业及地方空调产品质量标准，满足公司设备采购、安装、使用规范；通过国家3C强制认证，具备正规产品检测报告；安装符合《商用空调设备安装规范》（JGJ 174-2010）及商用电器安装相关标准；</w:t>
      </w:r>
    </w:p>
    <w:p w14:paraId="036551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4、空调内部核心部件需具备防油、防水、耐腐蚀特性，抗厨房油烟侵蚀；制冷、制热快速稳定，出风口风力均匀，可应对猛火灶、蒸箱作业带来的瞬时高温；压缩机为品牌原装核心部件，运行稳定，抗频繁启停，具备过压、过流、高温保护等功能；吸顶式设计简约规整，机身颜色适配厨房装修风格，出风口易拆卸、易清洁，无尖锐边角，符合厨房安全生产使用要求；</w:t>
      </w:r>
    </w:p>
    <w:p w14:paraId="7C9E6B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5、采用包工包料包安装包调试的全包模式，供应商承担空调设备、配套辅材（铜管96米、定制支架8副、国标BV五芯380V线缆240米、PVC 线管306米、漏电保护开关8个等相关辅材，详见</w:t>
      </w:r>
      <w:r>
        <w:rPr>
          <w:rFonts w:hint="eastAsia" w:ascii="仿宋_GB2312" w:hAnsi="仿宋_GB2312" w:eastAsia="仿宋_GB2312" w:cs="仿宋_GB2312"/>
          <w:b w:val="0"/>
          <w:bCs/>
          <w:i w:val="0"/>
          <w:color w:val="auto"/>
          <w:sz w:val="21"/>
          <w:szCs w:val="21"/>
          <w:highlight w:val="none"/>
          <w:u w:val="none"/>
          <w:lang w:val="en-US" w:eastAsia="zh-CN"/>
        </w:rPr>
        <w:t>天府空地勤食堂空调项目清单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）的采购、运输、现场安装、调试、验收全流程工作，同时负责安装现场防护、建筑垃圾清理、施工场地复原。</w:t>
      </w:r>
    </w:p>
    <w:p w14:paraId="016ADF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四、供应商要求</w:t>
      </w:r>
    </w:p>
    <w:p w14:paraId="0C1711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1、供应商需提前现场勘查，根据天府空地勤食堂热厨间、洗碗间实际布局，明确辅材规格、用量、安装点位、管线走向等，经采购方确认后方可施工；</w:t>
      </w:r>
    </w:p>
    <w:p w14:paraId="26729A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2、供应商应具备以下资质：</w:t>
      </w:r>
    </w:p>
    <w:p w14:paraId="25B47D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-若非设备原厂商，需提供原厂商颁发的代理资质或同等资质证明；</w:t>
      </w:r>
    </w:p>
    <w:p w14:paraId="37702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-供应商应具有机电安装工程总承包三级含以上，或机电设备安装工程专业承包三级（含）以上资质；</w:t>
      </w:r>
    </w:p>
    <w:p w14:paraId="7C0C2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-施工人员必须持有有效期内的电工证及制冷设备安装操作证。</w:t>
      </w:r>
    </w:p>
    <w:p w14:paraId="2E604EE9">
      <w:pPr>
        <w:pStyle w:val="11"/>
        <w:ind w:left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五、施工及验收要求</w:t>
      </w:r>
    </w:p>
    <w:p w14:paraId="47AA355E">
      <w:pPr>
        <w:pStyle w:val="11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3、合同签订后15个工作日内完成所有设备供货、安装及调试，确保一次性验收合格；整体施工工期不超过7个自然日（自设备进场之日起算），因供应商原因导致工期延误的，每延误1日按合同约定承担违约责任；</w:t>
      </w:r>
    </w:p>
    <w:p w14:paraId="65CDB70B">
      <w:pPr>
        <w:pStyle w:val="11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4、安装过程需避开食堂正常作业时段，减少对日常运营的影响，具体施工时间需提前与采购方确认并严格执行；</w:t>
      </w:r>
    </w:p>
    <w:p w14:paraId="3DFFD156">
      <w:pPr>
        <w:pStyle w:val="11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5、设备及辅材运输需做好防损、防压、防潮包装，确保货物完好送达；运输过程中的安全、损耗责任由供应商全权承担；</w:t>
      </w:r>
    </w:p>
    <w:p w14:paraId="2121C5F1">
      <w:pPr>
        <w:pStyle w:val="11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6、严格按照国家施工规范及产品安装手册施工，管线布局规范、美观、安全，做好防漏、防坠、防漏电专项处理；调试后确保每台空调制冷、制热、变频等功能正常运行，各项性能指标达标；</w:t>
      </w:r>
    </w:p>
    <w:p w14:paraId="256091E8">
      <w:pPr>
        <w:pStyle w:val="11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7、设备验收合格后，供应商需为采购方指定的使用及维护人员提供现场操作培训，内容包括空调开关机、模式调节、日常清洁、简单故障排查等，确保相关人员能独立操作及基础维护；</w:t>
      </w:r>
    </w:p>
    <w:p w14:paraId="3D14CBED">
      <w:pPr>
        <w:pStyle w:val="11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8、以国家空调产品质量标准、行业安装规范、本项目采购需求及供应商投标文件承诺为验收依据；分到货验收、安装验收、调试验收三步进行，到货验收核对设备型号、数量、配件完整性；安装验收检查施工工艺、管线布局、安全防护等；调试验收连续运行72小时无故障，制冷、制热效果达标，各项性能参数符合要求，验收合格后双方签署验收报告；供应商需在验收时提供完整的资料套组，包括产品合格证、检测报告、安装图纸、工程量清单、保修卡、使用说明书等。</w:t>
      </w:r>
    </w:p>
    <w:p w14:paraId="462A0360">
      <w:pPr>
        <w:pStyle w:val="11"/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lang w:val="en-US" w:eastAsia="zh-CN"/>
        </w:rPr>
        <w:t>六、质保及售后服务</w:t>
      </w:r>
    </w:p>
    <w:p w14:paraId="298FA4DD">
      <w:pPr>
        <w:pStyle w:val="11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  <w:t>1、整机质保期不少于3年，核心部件（压缩机、变频器、蒸发器、冷凝器等）质保期不少于5年，质保期自验收合格之日起计算；质保期内免费提供维修、更换配件服务，不收取任何人工及材料费用。重大故障无法当场解决的，需提供备用方案或临时替代设备，确保食堂正常运营；质保期内，空调及辅材出现非人为质量问题，供应商需在24小时内响应，48小时内安排专业人员上门免费维修、更换配件，无法维修的需无偿更换新机；质保期内，供应商提供定期巡检服务，每季度至少1次上门检查空调运行状态，及时排查故障隐患，确保设备正常运行；质保期满后，供应商仍需提供终身维修服务，仅收取合理的配件成本费，同时保证原厂配件的供应。</w:t>
      </w:r>
    </w:p>
    <w:p w14:paraId="1CF60759">
      <w:pPr>
        <w:pStyle w:val="11"/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  <w:t>七、其他</w:t>
      </w:r>
    </w:p>
    <w:p w14:paraId="64B684FF"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  <w:t>本次采购的空调设备及配套辅材的所有知识产权（专利、版权、商标权等）均归原生产方所有，供应商需保证所供货物无知识产权侵权问题，若因侵权产生的法律责任、经济损失均由供应商承担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sz w:val="21"/>
          <w:szCs w:val="21"/>
          <w:highlight w:val="none"/>
          <w:u w:val="none"/>
          <w:lang w:val="en-US" w:eastAsia="zh-CN"/>
        </w:rPr>
        <w:t>；施工过程中供应商需严格落实安全生产规范，承担施工期间的人员、财产安全责任，若发生安全事故，全部责任由供应商承担。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Constant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56415"/>
    <w:multiLevelType w:val="multilevel"/>
    <w:tmpl w:val="94E56415"/>
    <w:lvl w:ilvl="0" w:tentative="0">
      <w:start w:val="1"/>
      <w:numFmt w:val="chineseCounting"/>
      <w:pStyle w:val="6"/>
      <w:suff w:val="nothing"/>
      <w:lvlText w:val="第%1部分 "/>
      <w:lvlJc w:val="left"/>
      <w:pPr>
        <w:tabs>
          <w:tab w:val="left" w:pos="0"/>
        </w:tabs>
        <w:ind w:left="2" w:leftChars="0" w:hanging="2" w:firstLineChars="0"/>
      </w:pPr>
      <w:rPr>
        <w:rFonts w:hint="eastAsia"/>
        <w:spacing w:val="-20"/>
      </w:rPr>
    </w:lvl>
    <w:lvl w:ilvl="1" w:tentative="0">
      <w:start w:val="1"/>
      <w:numFmt w:val="chineseCounting"/>
      <w:pStyle w:val="3"/>
      <w:lvlText w:val="%2、"/>
      <w:lvlJc w:val="left"/>
      <w:pPr>
        <w:tabs>
          <w:tab w:val="left" w:pos="338"/>
        </w:tabs>
        <w:ind w:left="186" w:leftChars="0" w:hanging="186" w:firstLineChars="0"/>
      </w:pPr>
      <w:rPr>
        <w:rFonts w:hint="eastAsia" w:ascii="宋体" w:hAnsi="宋体" w:eastAsia="宋体" w:cs="Times New Roman"/>
        <w:b/>
        <w:color w:val="auto"/>
      </w:rPr>
    </w:lvl>
    <w:lvl w:ilvl="2" w:tentative="0">
      <w:start w:val="1"/>
      <w:numFmt w:val="decimal"/>
      <w:lvlRestart w:val="0"/>
      <w:pStyle w:val="4"/>
      <w:lvlText w:val="%3."/>
      <w:lvlJc w:val="left"/>
      <w:pPr>
        <w:tabs>
          <w:tab w:val="left" w:pos="317"/>
        </w:tabs>
        <w:ind w:left="227" w:leftChars="0" w:hanging="227" w:firstLineChars="0"/>
      </w:pPr>
      <w:rPr>
        <w:rFonts w:hint="eastAsia" w:ascii="Times New Roman" w:hAnsi="Times New Roman" w:cs="华文细黑"/>
      </w:rPr>
    </w:lvl>
    <w:lvl w:ilvl="3" w:tentative="0">
      <w:start w:val="1"/>
      <w:numFmt w:val="decimal"/>
      <w:pStyle w:val="5"/>
      <w:lvlText w:val="%3.%4."/>
      <w:lvlJc w:val="left"/>
      <w:pPr>
        <w:tabs>
          <w:tab w:val="left" w:pos="420"/>
        </w:tabs>
        <w:ind w:left="82" w:leftChars="0" w:hanging="87" w:firstLineChars="0"/>
      </w:pPr>
      <w:rPr>
        <w:rFonts w:hint="eastAsia" w:ascii="宋体" w:hAnsi="宋体" w:eastAsia="宋体" w:cs="Times New Roman"/>
      </w:rPr>
    </w:lvl>
    <w:lvl w:ilvl="4" w:tentative="0">
      <w:start w:val="1"/>
      <w:numFmt w:val="decimal"/>
      <w:lvlText w:val="%3.%4.%5."/>
      <w:lvlJc w:val="left"/>
      <w:pPr>
        <w:tabs>
          <w:tab w:val="left" w:pos="236"/>
        </w:tabs>
        <w:ind w:left="145" w:leftChars="0" w:hanging="165" w:firstLineChars="0"/>
      </w:pPr>
      <w:rPr>
        <w:rFonts w:hint="eastAsia" w:ascii="宋体" w:hAnsi="宋体" w:eastAsia="宋体" w:cs="Times New Roman"/>
      </w:rPr>
    </w:lvl>
    <w:lvl w:ilvl="5" w:tentative="0">
      <w:start w:val="1"/>
      <w:numFmt w:val="decimal"/>
      <w:pStyle w:val="7"/>
      <w:suff w:val="nothing"/>
      <w:lvlText w:val="附件1-%6 响应文件格式"/>
      <w:lvlJc w:val="left"/>
      <w:pPr>
        <w:tabs>
          <w:tab w:val="left" w:pos="0"/>
        </w:tabs>
        <w:ind w:left="0" w:leftChars="0" w:firstLine="960" w:firstLineChars="0"/>
      </w:pPr>
      <w:rPr>
        <w:rFonts w:hint="eastAsia" w:ascii="宋体" w:hAnsi="宋体" w:eastAsia="华文细黑"/>
        <w:bCs/>
        <w:spacing w:val="0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F15A7A30"/>
    <w:multiLevelType w:val="singleLevel"/>
    <w:tmpl w:val="F15A7A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336FDD"/>
    <w:multiLevelType w:val="singleLevel"/>
    <w:tmpl w:val="6A336FDD"/>
    <w:lvl w:ilvl="0" w:tentative="0">
      <w:start w:val="1"/>
      <w:numFmt w:val="decimal"/>
      <w:suff w:val="nothing"/>
      <w:lvlText w:val="%1、"/>
      <w:lvlJc w:val="left"/>
      <w:rPr>
        <w:rFonts w:hint="default"/>
        <w:highlight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A376A"/>
    <w:rsid w:val="116A376A"/>
    <w:rsid w:val="323C3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86" w:hanging="18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227" w:hanging="227"/>
      <w:outlineLvl w:val="2"/>
    </w:pPr>
    <w:rPr>
      <w:b/>
      <w:sz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 w:val="0"/>
      <w:keepLines w:val="0"/>
      <w:widowControl w:val="0"/>
      <w:numPr>
        <w:ilvl w:val="3"/>
        <w:numId w:val="1"/>
      </w:numPr>
      <w:tabs>
        <w:tab w:val="left" w:pos="10"/>
        <w:tab w:val="left" w:pos="115"/>
        <w:tab w:val="left" w:pos="178"/>
        <w:tab w:val="left" w:pos="197"/>
        <w:tab w:val="left" w:pos="236"/>
        <w:tab w:val="left" w:pos="317"/>
        <w:tab w:val="left" w:pos="340"/>
      </w:tabs>
      <w:spacing w:beforeLines="0" w:beforeAutospacing="0" w:afterLines="0" w:afterAutospacing="0" w:line="240" w:lineRule="auto"/>
      <w:ind w:left="79" w:hanging="85"/>
      <w:outlineLvl w:val="3"/>
    </w:pPr>
    <w:rPr>
      <w:rFonts w:ascii="Arial" w:hAnsi="Arial" w:eastAsia="华文细黑" w:cs="Times New Roman"/>
      <w:sz w:val="24"/>
      <w:lang w:val="en-GB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80" w:beforeLines="0" w:beforeAutospacing="0" w:after="290" w:afterLines="0" w:afterAutospacing="0" w:line="372" w:lineRule="auto"/>
      <w:ind w:left="2" w:hanging="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96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sz w:val="24"/>
    </w:rPr>
  </w:style>
  <w:style w:type="paragraph" w:styleId="11">
    <w:name w:val="Body Text First Indent"/>
    <w:basedOn w:val="2"/>
    <w:qFormat/>
    <w:uiPriority w:val="0"/>
    <w:pPr>
      <w:widowControl w:val="0"/>
      <w:ind w:firstLine="420" w:firstLineChars="100"/>
      <w:jc w:val="both"/>
    </w:pPr>
    <w:rPr>
      <w:rFonts w:hint="eastAsia" w:ascii="??" w:hAnsi="??" w:eastAsia="宋体" w:cs="Times New Roman"/>
      <w:kern w:val="2"/>
      <w:sz w:val="24"/>
      <w:szCs w:val="22"/>
      <w:lang w:val="en-US" w:eastAsia="zh-CN" w:bidi="ar-SA"/>
    </w:rPr>
  </w:style>
  <w:style w:type="character" w:customStyle="1" w:styleId="14">
    <w:name w:val="标题 4 Char"/>
    <w:link w:val="5"/>
    <w:qFormat/>
    <w:uiPriority w:val="0"/>
    <w:rPr>
      <w:rFonts w:ascii="Arial" w:hAnsi="Arial" w:eastAsia="华文细黑" w:cs="Times New Roman"/>
      <w:sz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2026-04-22T06:34:00Z</dcterms:created>
  <dc:creator>徐领泽</dc:creator>
  <cp:lastModifiedBy>徐领泽</cp:lastModifiedBy>
  <dcterms:modified xsi:type="dcterms:W3CDTF">2026-04-22T06:35:28Z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7A1F0FCA081140539FB1CA6EE5ADFB82_11</vt:lpwstr>
  </property>
  <property fmtid="{D5CDD505-2E9C-101B-9397-08002B2CF9AE}" pid="4" name="KSOTemplateDocerSaveRecord">
    <vt:lpwstr>eyJoZGlkIjoiYWQ3NDYyYjJmOWZjMTlmMDk4NDg1Yjg2ZmMzZTU3MDMiLCJ1c2VySWQiOiI1Njc3NDkyMjYifQ==</vt:lpwstr>
  </property>
</Properties>
</file>