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CB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航空器卫生处理服务项目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需求</w:t>
      </w:r>
    </w:p>
    <w:p w14:paraId="3101D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 xml:space="preserve">一、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需要执行的标准和规范</w:t>
      </w:r>
    </w:p>
    <w:p w14:paraId="54794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1.《中华人民共和国国境卫生检疫法》；</w:t>
      </w:r>
    </w:p>
    <w:p w14:paraId="00DF9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2.《中华人民共和国国境卫生检疫法实施细则》；</w:t>
      </w:r>
    </w:p>
    <w:p w14:paraId="042EA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3.《中华人民共和国进出境动植物检疫法》；</w:t>
      </w:r>
    </w:p>
    <w:p w14:paraId="61EA8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4.《中华人民共和国进出境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动植物检疫法实施条例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》；</w:t>
      </w:r>
    </w:p>
    <w:p w14:paraId="7A851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5.《中华人民共和国传染病防治法》；</w:t>
      </w:r>
    </w:p>
    <w:p w14:paraId="41B30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《大型飞机公共航空运输航空卫生工作要求》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；</w:t>
      </w:r>
    </w:p>
    <w:p w14:paraId="1FE5D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7.GB 19193-2015《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instrText xml:space="preserve"> HYPERLINK "https://std.samr.gov.cn/gb/search/gbDetailed?id=71F772D8043AD3A7E05397BE0A0AB82A" \t "https://std.samr.gov.cn/search/_blank"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疫源地消毒总则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》；</w:t>
      </w:r>
    </w:p>
    <w:p w14:paraId="1EA63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8.中国国际航空股份有限公司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《航空卫生管理手册》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；</w:t>
      </w:r>
    </w:p>
    <w:p w14:paraId="08A05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instrText xml:space="preserve"> HYPERLINK "https://std.samr.gov.cn/hb/search/stdHBDetailed?id=8B1827F19A66BB19E05397BE0A0AB44A" \t "https://std.samr.gov.cn/search/_blank"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SN/T 1267-2003《入出境航空器除虫规程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instrText xml:space="preserve"> HYPERLINK "https://std.samr.gov.cn/hb/search/stdHBDetailed?id=8B1827F1A8EDBB19E05397BE0A0AB44A" \t "https://std.samr.gov.cn/search/_blank"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SN/T 1299-2003《入出境航空器器械除鼠操作规程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》、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instrText xml:space="preserve"> HYPERLINK "https://std.samr.gov.cn/hb/search/stdHBDetailed?id=8B1827F219E0BB19E05397BE0A0AB44A" \t "https://std.samr.gov.cn/search/_blank"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SN/T 1422-2015《入出境航空器医学媒介生物控制标准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》等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其他海关检疫部门、行业主管部门的标准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；</w:t>
      </w:r>
    </w:p>
    <w:p w14:paraId="03354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其他卫生处理相关法律法规、部门规章、规范性文件及检验检疫、</w:t>
      </w:r>
      <w:r>
        <w:rPr>
          <w:rFonts w:hint="eastAsia" w:ascii="仿宋" w:hAnsi="仿宋" w:eastAsia="仿宋" w:cs="仿宋"/>
          <w:color w:val="auto"/>
          <w:spacing w:val="8"/>
          <w:sz w:val="19"/>
          <w:szCs w:val="19"/>
          <w:lang w:val="en-US" w:eastAsia="zh-CN"/>
        </w:rPr>
        <w:t>卫</w:t>
      </w:r>
      <w:r>
        <w:rPr>
          <w:rFonts w:hint="default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生处理、消毒服务行业标准</w:t>
      </w: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。</w:t>
      </w:r>
    </w:p>
    <w:p w14:paraId="44AFB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(实时更新，确保现行有效)</w:t>
      </w:r>
    </w:p>
    <w:p w14:paraId="6FEE2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服务内容与要求</w:t>
      </w:r>
    </w:p>
    <w:p w14:paraId="6132E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服务对象</w:t>
      </w:r>
    </w:p>
    <w:p w14:paraId="1BEB8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方指定需实施卫生处理服务的国际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\地区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出入境和国内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客运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航班。</w:t>
      </w:r>
    </w:p>
    <w:p w14:paraId="2F9BB7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服务范围</w:t>
      </w:r>
    </w:p>
    <w:p w14:paraId="5D32E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1.按照我司要求对航空器指定区域、行李、货物及相应废弃物开展消毒服务（包括但不限于预防性消毒、终末消毒等）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；</w:t>
      </w:r>
    </w:p>
    <w:p w14:paraId="1CA32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.按照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我司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要求对航空器开展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杀虫、灭鼠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处理等卫生处理。</w:t>
      </w:r>
    </w:p>
    <w:p w14:paraId="520C22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服务地点</w:t>
      </w:r>
    </w:p>
    <w:p w14:paraId="235D6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成都双流国际机场，成都天府国际机场。</w:t>
      </w:r>
    </w:p>
    <w:p w14:paraId="312713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（四）服务要求</w:t>
      </w:r>
    </w:p>
    <w:p w14:paraId="12A700A2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1.资质要求</w:t>
      </w:r>
    </w:p>
    <w:p w14:paraId="7BA0034A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供应商具备合法有效的营业执照，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经营范围须包含消毒及有害生物防制服务相关内容，并具备相应的专业服务能力。</w:t>
      </w:r>
    </w:p>
    <w:p w14:paraId="45814185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（2）供应商需通过“进出境动植物检疫除害处理单位核准”，且资质至少涵盖C类，并有相关证明；</w:t>
      </w:r>
    </w:p>
    <w:p w14:paraId="10FD5E58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（3）从业人员应当具有卫生处理相关专业资质或通过专业培训。</w:t>
      </w:r>
    </w:p>
    <w:p w14:paraId="53E69BAC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（4）能够自行为相应人员及工作车辆办理两场机场控制区通行证。</w:t>
      </w:r>
    </w:p>
    <w:p w14:paraId="5F1F6B7D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（5）供应商具备良好的履约信誉，近三年内在履约过程中没有出现重大差错。</w:t>
      </w:r>
    </w:p>
    <w:p w14:paraId="4694D746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2.服务质量要求：</w:t>
      </w:r>
    </w:p>
    <w:p w14:paraId="06F5E5D5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（1）使用的消毒、杀虫药剂应当通过适航审定且符合国家相关标准。</w:t>
      </w:r>
    </w:p>
    <w:p w14:paraId="02E2A94C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按航班计划准时作业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，如实、准确、完整填写各类卫生处理工作记录、卫生处理结果报告单等，相关资料应根据要求向海关检疫部门及我司提交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46442962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（3）响应时间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：提供7×24小时应急联络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方式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。接到指令通知后，需在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30分钟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内抵达指定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机位。</w:t>
      </w:r>
    </w:p>
    <w:p w14:paraId="7A7066C1">
      <w:pPr>
        <w:keepNext w:val="0"/>
        <w:keepLines w:val="0"/>
        <w:pageBreakBefore w:val="0"/>
        <w:widowControl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在指定时间内及时到达处理现场按时完成航空器卫生处理作业。如遇航班延误或航班临时加班情况，服务方应能合理调配资源，按照服务时限满足航空器卫生处理要求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21"/>
          <w:szCs w:val="21"/>
          <w:lang w:val="en-US" w:eastAsia="zh-CN"/>
        </w:rPr>
        <w:t>。</w:t>
      </w:r>
    </w:p>
    <w:p w14:paraId="257FC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验收标准</w:t>
      </w:r>
    </w:p>
    <w:p w14:paraId="26FB0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）预防性消毒</w:t>
      </w:r>
    </w:p>
    <w:p w14:paraId="68723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根据我司《卫生处理通知书》或《工作联系单》开展，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服务工作量按“实际完成消毒的航空器架次”进行计量，并需提供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《国航卫生处理结果报告单》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26825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终末消毒</w:t>
      </w:r>
    </w:p>
    <w:p w14:paraId="58742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根据海关签发的《检验检疫处理通知书》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（或同等效力文件）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我司《卫生处理通知书》或《工作联系单》开展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。服务工作量按“完成消毒的航空器架次”进行计量，并需提供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《国航卫生处理结果报告单》；国际/地区航班需提供符合海关要求的《检疫处理结果报告单》或海关认可的相同法律效力文件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20426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方案制定：需根据海关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疾控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部门的个案要求，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及时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制定并提交针对性处理方案。对于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国际/地区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航班，方案须涵盖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海关检验检疫处理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要求，并确保处理方法符合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海关要求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）</w:t>
      </w:r>
    </w:p>
    <w:p w14:paraId="39CCBAB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检疫卫生处理（杀虫）</w:t>
      </w:r>
    </w:p>
    <w:p w14:paraId="471E4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根据成都双流机场海关签发的《检验检疫处理通知书》（或同等效力文件）开展，服务工作量按“实际完成杀虫的航空器架次”进行计量，并需提供符合海关要求的《检疫处理结果报告单》。</w:t>
      </w:r>
    </w:p>
    <w:p w14:paraId="1A75A4F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检疫卫生处理（灭鼠）</w:t>
      </w:r>
    </w:p>
    <w:p w14:paraId="78828DEC"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根据成都双流机场海关签发的《检验检疫处理通知书》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（或同等效力文件）开展，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服务工作量按“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发生灭鼠后，出具一份符合要求的灭鼠报告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”进行计量，并需提供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《检疫处理结果报告单》及相应灭鼠报告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56415"/>
    <w:multiLevelType w:val="multilevel"/>
    <w:tmpl w:val="94E56415"/>
    <w:lvl w:ilvl="0" w:tentative="0">
      <w:start w:val="1"/>
      <w:numFmt w:val="chineseCounting"/>
      <w:pStyle w:val="5"/>
      <w:suff w:val="nothing"/>
      <w:lvlText w:val="第%1部分 "/>
      <w:lvlJc w:val="left"/>
      <w:pPr>
        <w:tabs>
          <w:tab w:val="left" w:pos="0"/>
        </w:tabs>
        <w:ind w:left="2" w:leftChars="0" w:hanging="2" w:firstLineChars="0"/>
      </w:pPr>
      <w:rPr>
        <w:rFonts w:hint="eastAsia"/>
        <w:spacing w:val="-20"/>
      </w:rPr>
    </w:lvl>
    <w:lvl w:ilvl="1" w:tentative="0">
      <w:start w:val="1"/>
      <w:numFmt w:val="chineseCounting"/>
      <w:pStyle w:val="2"/>
      <w:lvlText w:val="%2、"/>
      <w:lvlJc w:val="left"/>
      <w:pPr>
        <w:tabs>
          <w:tab w:val="left" w:pos="338"/>
        </w:tabs>
        <w:ind w:left="186" w:leftChars="0" w:hanging="186" w:firstLineChars="0"/>
      </w:pPr>
      <w:rPr>
        <w:rFonts w:hint="eastAsia" w:ascii="宋体" w:hAnsi="宋体" w:eastAsia="宋体" w:cs="Times New Roman"/>
        <w:b/>
        <w:color w:val="auto"/>
      </w:rPr>
    </w:lvl>
    <w:lvl w:ilvl="2" w:tentative="0">
      <w:start w:val="1"/>
      <w:numFmt w:val="decimal"/>
      <w:lvlRestart w:val="0"/>
      <w:pStyle w:val="3"/>
      <w:lvlText w:val="%3."/>
      <w:lvlJc w:val="left"/>
      <w:pPr>
        <w:tabs>
          <w:tab w:val="left" w:pos="317"/>
        </w:tabs>
        <w:ind w:left="227" w:leftChars="0" w:hanging="227" w:firstLineChars="0"/>
      </w:pPr>
      <w:rPr>
        <w:rFonts w:hint="eastAsia" w:ascii="Times New Roman" w:hAnsi="Times New Roman" w:cs="华文细黑"/>
      </w:rPr>
    </w:lvl>
    <w:lvl w:ilvl="3" w:tentative="0">
      <w:start w:val="1"/>
      <w:numFmt w:val="decimal"/>
      <w:pStyle w:val="4"/>
      <w:lvlText w:val="%3.%4."/>
      <w:lvlJc w:val="left"/>
      <w:pPr>
        <w:tabs>
          <w:tab w:val="left" w:pos="420"/>
        </w:tabs>
        <w:ind w:left="82" w:leftChars="0" w:hanging="87" w:firstLineChars="0"/>
      </w:pPr>
      <w:rPr>
        <w:rFonts w:hint="eastAsia" w:ascii="宋体" w:hAnsi="宋体" w:eastAsia="宋体" w:cs="Times New Roman"/>
      </w:rPr>
    </w:lvl>
    <w:lvl w:ilvl="4" w:tentative="0">
      <w:start w:val="1"/>
      <w:numFmt w:val="decimal"/>
      <w:lvlText w:val="%3.%4.%5."/>
      <w:lvlJc w:val="left"/>
      <w:pPr>
        <w:tabs>
          <w:tab w:val="left" w:pos="236"/>
        </w:tabs>
        <w:ind w:left="145" w:leftChars="0" w:hanging="165" w:firstLineChars="0"/>
      </w:pPr>
      <w:rPr>
        <w:rFonts w:hint="eastAsia" w:ascii="宋体" w:hAnsi="宋体" w:eastAsia="宋体" w:cs="Times New Roman"/>
      </w:rPr>
    </w:lvl>
    <w:lvl w:ilvl="5" w:tentative="0">
      <w:start w:val="1"/>
      <w:numFmt w:val="decimal"/>
      <w:pStyle w:val="6"/>
      <w:suff w:val="nothing"/>
      <w:lvlText w:val="附件1-%6 响应文件格式"/>
      <w:lvlJc w:val="left"/>
      <w:pPr>
        <w:tabs>
          <w:tab w:val="left" w:pos="0"/>
        </w:tabs>
        <w:ind w:left="0" w:leftChars="0" w:firstLine="960" w:firstLineChars="0"/>
      </w:pPr>
      <w:rPr>
        <w:rFonts w:hint="eastAsia" w:ascii="宋体" w:hAnsi="宋体" w:eastAsia="华文细黑"/>
        <w:bCs/>
        <w:spacing w:val="0"/>
      </w:rPr>
    </w:lvl>
    <w:lvl w:ilvl="6" w:tentative="0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EA536CBC"/>
    <w:multiLevelType w:val="singleLevel"/>
    <w:tmpl w:val="EA536CB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040D7"/>
    <w:rsid w:val="323C30CA"/>
    <w:rsid w:val="3EA04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86" w:hanging="186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27" w:hanging="227"/>
      <w:outlineLvl w:val="2"/>
    </w:pPr>
    <w:rPr>
      <w:b/>
      <w:sz w:val="32"/>
    </w:rPr>
  </w:style>
  <w:style w:type="paragraph" w:styleId="4">
    <w:name w:val="heading 4"/>
    <w:basedOn w:val="1"/>
    <w:next w:val="1"/>
    <w:link w:val="12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tabs>
        <w:tab w:val="left" w:pos="10"/>
        <w:tab w:val="left" w:pos="115"/>
        <w:tab w:val="left" w:pos="178"/>
        <w:tab w:val="left" w:pos="197"/>
        <w:tab w:val="left" w:pos="236"/>
        <w:tab w:val="left" w:pos="317"/>
        <w:tab w:val="left" w:pos="340"/>
      </w:tabs>
      <w:spacing w:beforeLines="0" w:beforeAutospacing="0" w:afterLines="0" w:afterAutospacing="0" w:line="240" w:lineRule="auto"/>
      <w:ind w:left="79" w:hanging="85"/>
      <w:outlineLvl w:val="3"/>
    </w:pPr>
    <w:rPr>
      <w:rFonts w:ascii="Arial" w:hAnsi="Arial" w:eastAsia="华文细黑" w:cs="Times New Roman"/>
      <w:sz w:val="24"/>
      <w:lang w:val="en-GB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80" w:beforeLines="0" w:beforeAutospacing="0" w:after="290" w:afterLines="0" w:afterAutospacing="0" w:line="372" w:lineRule="auto"/>
      <w:ind w:left="2" w:hanging="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96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4 Char"/>
    <w:link w:val="4"/>
    <w:qFormat/>
    <w:uiPriority w:val="0"/>
    <w:rPr>
      <w:rFonts w:ascii="Arial" w:hAnsi="Arial" w:eastAsia="华文细黑" w:cs="Times New Roman"/>
      <w:sz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2026-04-17T02:24:00Z</dcterms:created>
  <dc:creator>徐领泽</dc:creator>
  <cp:lastModifiedBy>徐领泽</cp:lastModifiedBy>
  <dcterms:modified xsi:type="dcterms:W3CDTF">2026-04-17T02:25:03Z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8D6371364B574C7EAD733581F6B00F33_11</vt:lpwstr>
  </property>
  <property fmtid="{D5CDD505-2E9C-101B-9397-08002B2CF9AE}" pid="4" name="KSOTemplateDocerSaveRecord">
    <vt:lpwstr>eyJoZGlkIjoiYWQ3NDYyYjJmOWZjMTlmMDk4NDg1Yjg2ZmMzZTU3MDMiLCJ1c2VySWQiOiI1Njc3NDkyMjYifQ==</vt:lpwstr>
  </property>
</Properties>
</file>