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Style w:val="10"/>
          <w:rFonts w:hint="eastAsia" w:ascii="方正小标宋简体" w:hAnsi="方正小标宋简体" w:eastAsia="方正小标宋简体" w:cs="方正小标宋简体"/>
          <w:sz w:val="44"/>
          <w:szCs w:val="44"/>
          <w:u w:val="none"/>
          <w:lang w:val="en-US" w:eastAsia="zh-CN"/>
        </w:rPr>
      </w:pPr>
      <w:r>
        <w:rPr>
          <w:rStyle w:val="10"/>
          <w:rFonts w:hint="eastAsia" w:ascii="方正小标宋简体" w:hAnsi="方正小标宋简体" w:eastAsia="方正小标宋简体" w:cs="方正小标宋简体"/>
          <w:sz w:val="44"/>
          <w:szCs w:val="44"/>
          <w:u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jc w:val="center"/>
        <w:textAlignment w:val="auto"/>
        <w:rPr>
          <w:rStyle w:val="10"/>
          <w:rFonts w:hint="eastAsia" w:ascii="方正小标宋简体" w:hAnsi="方正小标宋简体" w:eastAsia="方正小标宋简体" w:cs="方正小标宋简体"/>
          <w:sz w:val="44"/>
          <w:szCs w:val="44"/>
          <w:u w:val="none"/>
          <w:lang w:val="en-US" w:eastAsia="zh-CN"/>
        </w:rPr>
      </w:pPr>
      <w:r>
        <w:rPr>
          <w:rStyle w:val="10"/>
          <w:rFonts w:hint="eastAsia" w:ascii="方正小标宋简体" w:hAnsi="方正小标宋简体" w:eastAsia="方正小标宋简体" w:cs="方正小标宋简体"/>
          <w:sz w:val="44"/>
          <w:szCs w:val="44"/>
          <w:u w:val="none"/>
          <w:lang w:val="en-US" w:eastAsia="zh-CN"/>
        </w:rPr>
        <w:t>委托招投标服务项目采购需求</w:t>
      </w:r>
    </w:p>
    <w:p>
      <w:pPr>
        <w:spacing w:line="336" w:lineRule="auto"/>
        <w:ind w:firstLine="420" w:firstLineChars="200"/>
        <w:rPr>
          <w:rFonts w:hint="eastAsia" w:ascii="黑体" w:hAnsi="黑体" w:eastAsia="黑体" w:cs="黑体"/>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一、项目背景</w:t>
      </w:r>
    </w:p>
    <w:p>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根据中航集团（国航股份）发布的《关于明确自主招标划定界限的通知》，</w:t>
      </w:r>
      <w:r>
        <w:rPr>
          <w:rFonts w:hint="eastAsia" w:ascii="仿宋_GB2312" w:hAnsi="仿宋_GB2312" w:eastAsia="仿宋_GB2312"/>
          <w:sz w:val="32"/>
          <w:szCs w:val="32"/>
        </w:rPr>
        <w:t>为规范</w:t>
      </w:r>
      <w:r>
        <w:rPr>
          <w:rFonts w:hint="eastAsia" w:ascii="仿宋_GB2312" w:hAnsi="仿宋_GB2312" w:eastAsia="仿宋_GB2312"/>
          <w:sz w:val="32"/>
          <w:szCs w:val="32"/>
          <w:lang w:val="en-US" w:eastAsia="zh-CN"/>
        </w:rPr>
        <w:t>上海中航航空食品有限</w:t>
      </w:r>
      <w:r>
        <w:rPr>
          <w:rFonts w:hint="eastAsia" w:ascii="仿宋_GB2312" w:hAnsi="仿宋_GB2312" w:eastAsia="仿宋_GB2312"/>
          <w:sz w:val="32"/>
          <w:szCs w:val="32"/>
        </w:rPr>
        <w:t>公司</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以下简称“上海航食”或“公司”）</w:t>
      </w:r>
      <w:r>
        <w:rPr>
          <w:rFonts w:hint="eastAsia" w:ascii="仿宋_GB2312" w:hAnsi="仿宋_GB2312" w:eastAsia="仿宋_GB2312"/>
          <w:sz w:val="32"/>
          <w:szCs w:val="32"/>
        </w:rPr>
        <w:t>招标采购活动，提升招标</w:t>
      </w:r>
      <w:r>
        <w:rPr>
          <w:rFonts w:hint="eastAsia" w:ascii="仿宋_GB2312" w:hAnsi="仿宋_GB2312" w:eastAsia="仿宋_GB2312"/>
          <w:sz w:val="32"/>
          <w:szCs w:val="32"/>
          <w:lang w:val="en-US" w:eastAsia="zh-CN"/>
        </w:rPr>
        <w:t>工作</w:t>
      </w:r>
      <w:r>
        <w:rPr>
          <w:rFonts w:hint="eastAsia" w:ascii="仿宋_GB2312" w:hAnsi="仿宋_GB2312" w:eastAsia="仿宋_GB2312"/>
          <w:sz w:val="32"/>
          <w:szCs w:val="32"/>
        </w:rPr>
        <w:t>质量与效率，保障各类采购项目的顺利实施，现计划通过公开采购方式，</w:t>
      </w:r>
      <w:r>
        <w:rPr>
          <w:rFonts w:hint="eastAsia" w:ascii="仿宋_GB2312" w:hAnsi="仿宋_GB2312" w:eastAsia="仿宋_GB2312"/>
          <w:sz w:val="32"/>
          <w:szCs w:val="32"/>
          <w:lang w:val="en-US" w:eastAsia="zh-CN"/>
        </w:rPr>
        <w:t>拟</w:t>
      </w:r>
      <w:r>
        <w:rPr>
          <w:rFonts w:hint="eastAsia" w:ascii="仿宋_GB2312" w:hAnsi="仿宋_GB2312" w:eastAsia="仿宋_GB2312"/>
          <w:sz w:val="32"/>
          <w:szCs w:val="32"/>
        </w:rPr>
        <w:t>遴选</w:t>
      </w:r>
      <w:r>
        <w:rPr>
          <w:rFonts w:hint="eastAsia" w:ascii="仿宋_GB2312" w:hAnsi="仿宋_GB2312" w:eastAsia="仿宋_GB2312"/>
          <w:sz w:val="32"/>
          <w:szCs w:val="32"/>
          <w:lang w:val="en-US" w:eastAsia="zh-CN"/>
        </w:rPr>
        <w:t>2家</w:t>
      </w:r>
      <w:r>
        <w:rPr>
          <w:rFonts w:hint="eastAsia" w:ascii="仿宋_GB2312" w:hAnsi="仿宋_GB2312" w:eastAsia="仿宋_GB2312"/>
          <w:sz w:val="32"/>
          <w:szCs w:val="32"/>
        </w:rPr>
        <w:t>招标代理机构，</w:t>
      </w:r>
      <w:r>
        <w:rPr>
          <w:rFonts w:hint="eastAsia" w:ascii="仿宋_GB2312" w:hAnsi="仿宋_GB2312" w:eastAsia="仿宋_GB2312"/>
          <w:sz w:val="32"/>
          <w:szCs w:val="32"/>
          <w:lang w:val="en-US" w:eastAsia="zh-CN"/>
        </w:rPr>
        <w:t>一家</w:t>
      </w:r>
      <w:r>
        <w:rPr>
          <w:rFonts w:hint="eastAsia" w:ascii="仿宋_GB2312" w:hAnsi="仿宋_GB2312" w:eastAsia="仿宋_GB2312"/>
          <w:sz w:val="32"/>
          <w:szCs w:val="32"/>
        </w:rPr>
        <w:t>为公司未来</w:t>
      </w:r>
      <w:r>
        <w:rPr>
          <w:rFonts w:hint="eastAsia" w:ascii="仿宋_GB2312" w:hAnsi="仿宋_GB2312" w:eastAsia="仿宋_GB2312"/>
          <w:sz w:val="32"/>
          <w:szCs w:val="32"/>
          <w:lang w:val="en-US" w:eastAsia="zh-CN"/>
        </w:rPr>
        <w:t>食品原辅料、物资类、设备类、</w:t>
      </w:r>
      <w:r>
        <w:rPr>
          <w:rFonts w:hint="eastAsia" w:ascii="仿宋_GB2312" w:hAnsi="仿宋_GB2312" w:eastAsia="仿宋_GB2312"/>
          <w:sz w:val="32"/>
          <w:szCs w:val="32"/>
        </w:rPr>
        <w:t>服务</w:t>
      </w:r>
      <w:r>
        <w:rPr>
          <w:rFonts w:hint="eastAsia" w:ascii="仿宋_GB2312" w:hAnsi="仿宋_GB2312" w:eastAsia="仿宋_GB2312"/>
          <w:sz w:val="32"/>
          <w:szCs w:val="32"/>
          <w:lang w:val="en-US" w:eastAsia="zh-CN"/>
        </w:rPr>
        <w:t>类</w:t>
      </w:r>
      <w:r>
        <w:rPr>
          <w:rFonts w:hint="eastAsia" w:ascii="仿宋_GB2312" w:hAnsi="仿宋_GB2312" w:eastAsia="仿宋_GB2312"/>
          <w:sz w:val="32"/>
          <w:szCs w:val="32"/>
        </w:rPr>
        <w:t>采购等招标项目提供专业代理服务</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另外一家</w:t>
      </w:r>
      <w:r>
        <w:rPr>
          <w:rFonts w:hint="eastAsia" w:ascii="仿宋_GB2312" w:hAnsi="仿宋_GB2312" w:eastAsia="仿宋_GB2312"/>
          <w:sz w:val="32"/>
          <w:szCs w:val="32"/>
        </w:rPr>
        <w:t>为公司未来工程建设</w:t>
      </w:r>
      <w:r>
        <w:rPr>
          <w:rFonts w:hint="eastAsia" w:ascii="仿宋_GB2312" w:hAnsi="仿宋_GB2312" w:eastAsia="仿宋_GB2312"/>
          <w:sz w:val="32"/>
          <w:szCs w:val="32"/>
          <w:lang w:val="en-US" w:eastAsia="zh-CN"/>
        </w:rPr>
        <w:t>施工</w:t>
      </w:r>
      <w:r>
        <w:rPr>
          <w:rFonts w:hint="eastAsia" w:ascii="仿宋_GB2312" w:hAnsi="仿宋_GB2312" w:eastAsia="仿宋_GB2312"/>
          <w:sz w:val="32"/>
          <w:szCs w:val="32"/>
        </w:rPr>
        <w:t>招标项目提供专业代理服务</w:t>
      </w:r>
      <w:r>
        <w:rPr>
          <w:rFonts w:hint="eastAsia" w:ascii="仿宋_GB2312" w:hAnsi="仿宋_GB2312" w:eastAsia="仿宋_GB2312"/>
          <w:sz w:val="32"/>
          <w:szCs w:val="32"/>
          <w:lang w:eastAsia="zh-CN"/>
        </w:rPr>
        <w:t>。</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1.项目名称：上海中航航空食品有限公司委托招投标服务项目</w:t>
      </w:r>
    </w:p>
    <w:p>
      <w:pPr>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r>
        <w:rPr>
          <w:rFonts w:hint="eastAsia" w:ascii="仿宋_GB2312" w:hAnsi="微软雅黑" w:eastAsia="仿宋_GB2312" w:cs="微软雅黑"/>
          <w:color w:val="000000" w:themeColor="text1"/>
          <w:kern w:val="0"/>
          <w:sz w:val="32"/>
          <w:szCs w:val="32"/>
          <w14:textFill>
            <w14:solidFill>
              <w14:schemeClr w14:val="tx1"/>
            </w14:solidFill>
          </w14:textFill>
        </w:rPr>
        <w:t>合同期限：自合同签订之日起</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kern w:val="0"/>
          <w:sz w:val="32"/>
          <w:szCs w:val="32"/>
          <w14:textFill>
            <w14:solidFill>
              <w14:schemeClr w14:val="tx1"/>
            </w14:solidFill>
          </w14:textFill>
        </w:rPr>
        <w:t>年</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采购</w:t>
      </w:r>
      <w:r>
        <w:rPr>
          <w:rFonts w:hint="eastAsia" w:ascii="黑体" w:hAnsi="黑体" w:eastAsia="黑体" w:cs="黑体"/>
          <w:sz w:val="32"/>
          <w:szCs w:val="32"/>
        </w:rPr>
        <w:t>内容及要求</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（一）服务内容：</w:t>
      </w:r>
      <w:bookmarkStart w:id="0" w:name="_GoBack"/>
      <w:bookmarkEnd w:id="0"/>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1.非</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施工：食品原辅料、物资类、设备类、服务类采购等项目的全流程招标代理服务。</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施工项目的全流程招标代理服务。</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（二）服务范围</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代理服务应包括但不限于：编制招标文件、发布招标公告、组织样品评审工作、组织开标、评标、定标活动、发布中标通知书、协助合同签订及招标资料归档、合同订立、协助检查审计等全流程服务。</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（三）服务要求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1.招标代理工作应遵守下列与招标投标相关的法律、法规和文件规定：</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（1）国家和地方法律、法规；</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（2）相关行业部门和地方政府规章及规范性文件；</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（3）招标代理委托合同；</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（4）中航集团（国航股份）、中翼航空投资有限公司暨北京航空食品有限公司及上海航食相关采购体系文件。</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2.招标代理工作应满足下列与招标投标相关工作要求：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（1）前期需求对接与准备，招标代理需在3-5个工作日，在收到采购需求后协助完善相关工作，需求一经确认，不得随意变更。</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（2）编制招标文件及审核，招标代理需在10个工作日内，在收到招标文件后协助完善招标文件，确保资料符合招标投标相关法律法规及项目实际需求。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招标组织实施：严格按照法定程序组织开标、评标工作，规范组建评标委员会，做好开标、评标过程的现场组织、记录工作，确保开标公开、评标公正；及时处理招标过程中的质疑、投诉，主动配合招标人及相关监管部门的监督检查。</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（4）采购实施周期：招标代理需在55个工作日内完成招标实施工作。</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（5）资料归档与总结：招标工作结束后，招标代理需在15个工作日内完成全部招标资料的整理、归档工作，形成完整的项目招标档案；同时提交招标工作总结报告，明确工作推进情况、存在问题及改进建议。</w:t>
      </w:r>
    </w:p>
    <w:p>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sz w:val="32"/>
          <w:szCs w:val="32"/>
          <w:lang w:val="en-US" w:eastAsia="zh-CN"/>
        </w:rPr>
        <w:t>3.关注食品原材料、成品及半成品的招标代理服务，如有样品，则需组织样品评审；需加工或冷冻冷藏的样品，可由公司提供评审及储存场地，其他样品评审由招标代理机构自行组织。</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三、供应商资质要求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（一）公司资质要求</w:t>
      </w:r>
    </w:p>
    <w:p>
      <w:pPr>
        <w:ind w:firstLine="640" w:firstLineChars="200"/>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具有独立法人资格，持有有效的营业执照，营业执照经营范围明确包含“招标代理业务”能够独立承担民事责任，与行政机关无隶属关系或其他利益关联，未被列入企业经营异常名录、严重违法失信名单。</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1.响应人业绩</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2022年1月1日至今，中标金额在1000万元人民币（含）以上的工程建设施工类招标代理项目业绩至少1项（含）。</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（2）非</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2022年1月1日至今，中标金额（签署框架协议的采购项目按整体预算金额计算）在200万元人民币（含）以上的食品或酒饮的招标代理项目业绩至少1项（含）。</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2022年1月1日至今，中标金额在500万元人民币（含）以上的服务类招标代理项目业绩至少1项（含）。</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w:t>
      </w:r>
      <w:r>
        <w:rPr>
          <w:rFonts w:hint="default" w:ascii="仿宋_GB2312" w:hAnsi="仿宋_GB2312" w:eastAsia="仿宋_GB2312"/>
          <w:sz w:val="32"/>
          <w:szCs w:val="32"/>
          <w:lang w:val="en-US" w:eastAsia="zh-CN"/>
        </w:rPr>
        <w:t>提供能体现上述信息的证明材料（至少包括</w:t>
      </w:r>
      <w:r>
        <w:rPr>
          <w:rFonts w:hint="eastAsia" w:ascii="仿宋_GB2312" w:hAnsi="仿宋_GB2312" w:eastAsia="仿宋_GB2312"/>
          <w:sz w:val="32"/>
          <w:szCs w:val="32"/>
          <w:lang w:val="en-US" w:eastAsia="zh-CN"/>
        </w:rPr>
        <w:t>中标通知书</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（二）合作团队资质要求</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1.响应人资质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（1）响应人具有相关行政主管部门颁发的相关资质/资格证书，提供有效证书复印件。</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（2）基本从业条件：</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A.独立能力：具有独立承担民事责任的能力。</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B.固定场所：拥有独立办公场所和必备的设施。</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C.专业人员：拥有不少于5名熟悉法规、能编制文件和组织评标的专职人员。</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D.合规记录：公司、法人及人员无因泄密、串通等严重违法行为被禁止从业。</w:t>
      </w:r>
    </w:p>
    <w:p>
      <w:pPr>
        <w:ind w:firstLine="640" w:firstLineChars="200"/>
        <w:rPr>
          <w:rFonts w:hint="eastAsia" w:ascii="仿宋_GB2312" w:hAnsi="仿宋_GB2312" w:eastAsia="仿宋_GB2312"/>
          <w:sz w:val="32"/>
          <w:szCs w:val="32"/>
          <w:highlight w:val="yellow"/>
          <w:lang w:val="en-US" w:eastAsia="zh-CN"/>
        </w:rPr>
      </w:pPr>
      <w:r>
        <w:rPr>
          <w:rFonts w:hint="eastAsia" w:ascii="仿宋_GB2312" w:hAnsi="仿宋_GB2312" w:eastAsia="仿宋_GB2312"/>
          <w:sz w:val="32"/>
          <w:szCs w:val="32"/>
          <w:lang w:val="en-US" w:eastAsia="zh-CN"/>
        </w:rPr>
        <w:t>E.内部管理：具备完善的内部管理制度。</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2.人员资质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供应商须派1个项目组以备随时提供服务，项目组不得少于6人。</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工程建设</w:t>
      </w:r>
      <w:r>
        <w:rPr>
          <w:rFonts w:hint="eastAsia" w:ascii="仿宋_GB2312" w:hAnsi="仿宋_GB2312" w:eastAsia="仿宋_GB2312"/>
          <w:sz w:val="32"/>
          <w:szCs w:val="32"/>
          <w:lang w:val="en-US" w:eastAsia="zh-CN"/>
        </w:rPr>
        <w:t>施工项目组须至少有1人具备一级造价工程师资质、1人具备一级建造师资质、2人具备招标师资质或中级招采人员专业技术能力；项目负责人须具备招标师资质或中级招采人员专业技术能力。</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食品原辅料、物资类、设备类、服务类等项目组须至少2人具备招标师资质或中级招采人员专业技术能力；项目负责人须具备招标师资质或中级招采人员专业技术能力。供应商应具备相应规模行业的评标专家库，其中食品相关类评标专家不少于50人。</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四、费用及结算（包括招标及竞争性谈判项目）</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（一）招标代理费</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以委托项目的中标金额作为收费基准，按国家计委《招标代理服务收费管理暂行办法》（计价格【2002】1980号）、国家发展改革委办公厅《关于招标代理收费有关问题的通知》（发改办价格【2003】857号）、国家发展改革委《关于降低部分建设项目收费标准规范收费行为等有关问题的通知》（发改价格【2011】534号）、以及国家发展改革委《关于进一步放开建设项目专业服务价格的通知》（发改价格【2015】299号），委托项目的招标代理服务费以上述国家有关规定基数为准。</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2.招标代理机构在招标代理过程中需承担以下费用：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（1）招标文件和资格预审文件的编制、印刷、装订费。</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（2）刊登招标公告的公告费。</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（3）开标、评标场地费。</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（4）评标期间专家评审费等所有费用。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（5）其他应由招标代理机构承担的合理费用。</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3.单个项目代理费上限为25万元，下限为4000元。</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4.对于分标段（包件）招标的项目，计算代理服务费以标段（包件）为单位分别计算计费基数。如中标金额为单价的，计费基数应为该项目预算金额。</w:t>
      </w:r>
    </w:p>
    <w:p>
      <w:pPr>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5.其他采购方式（竞争性谈判、单一来源、询价）取费按照招标项目。</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6.无中标人招标代理费由招标人支付。但因业主方原因中止招标项目致招标项目未能完成全部工作流程，费用结算按以下方式进行：</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（1）标书编制占招标代理费30%。</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（2）标书发布、接受报名与出售标书占招标代理费20%。</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（3）评标与公示占招标代理费50%。</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7.对于因两次招标失败后变更采购方式的，取费方式不变。两次招标失败后不再委托该招标代理（委托其他招标代理或自行采购）进行采购的，收取每个项目人民币6000元的代理劳务费；</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（二）招标代理费结算</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1.支付人：招标代理费由委托项目的中标人支付。</w:t>
      </w:r>
    </w:p>
    <w:p>
      <w:pPr>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2.结算依据：招标代理费以委托项目的中标金额为取费基数；如签订框架协议或单价合同，招标代理费以协议期内预估采购金额为取费基数。</w:t>
      </w:r>
    </w:p>
    <w:p>
      <w:pPr>
        <w:ind w:firstLine="640" w:firstLineChars="200"/>
        <w:rPr>
          <w:rFonts w:hint="default" w:ascii="仿宋_GB2312" w:hAnsi="仿宋_GB2312" w:eastAsia="仿宋_GB2312"/>
          <w:sz w:val="32"/>
          <w:szCs w:val="32"/>
          <w:lang w:val="en-US" w:eastAsia="zh-CN"/>
        </w:rPr>
      </w:pPr>
      <w:r>
        <w:rPr>
          <w:rFonts w:hint="eastAsia" w:ascii="黑体" w:hAnsi="黑体" w:eastAsia="黑体" w:cs="黑体"/>
          <w:sz w:val="32"/>
          <w:szCs w:val="32"/>
          <w:lang w:val="en-US" w:eastAsia="zh-CN"/>
        </w:rPr>
        <w:t>五、履约考核</w:t>
      </w:r>
    </w:p>
    <w:tbl>
      <w:tblPr>
        <w:tblStyle w:val="7"/>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2460"/>
        <w:gridCol w:w="3450"/>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考核类别</w:t>
            </w:r>
          </w:p>
        </w:tc>
        <w:tc>
          <w:tcPr>
            <w:tcW w:w="2460"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考核内容与方式</w:t>
            </w:r>
          </w:p>
        </w:tc>
        <w:tc>
          <w:tcPr>
            <w:tcW w:w="3450"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分值</w:t>
            </w:r>
          </w:p>
        </w:tc>
        <w:tc>
          <w:tcPr>
            <w:tcW w:w="2106"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考核构成</w:t>
            </w:r>
          </w:p>
        </w:tc>
        <w:tc>
          <w:tcPr>
            <w:tcW w:w="8016" w:type="dxa"/>
            <w:gridSpan w:val="3"/>
          </w:tcPr>
          <w:p>
            <w:pPr>
              <w:ind w:firstLine="560" w:firstLineChars="200"/>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履约考核分为日常考核及年终考核。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日常考核</w:t>
            </w:r>
          </w:p>
        </w:tc>
        <w:tc>
          <w:tcPr>
            <w:tcW w:w="246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以项目为单位进行差错考核</w:t>
            </w:r>
          </w:p>
        </w:tc>
        <w:tc>
          <w:tcPr>
            <w:tcW w:w="345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一般差错：每达到年度委托项目总数的5%，扣除乙方当年对应出错的项目罚款500元/次。</w:t>
            </w:r>
            <w:r>
              <w:rPr>
                <w:rFonts w:hint="eastAsia" w:ascii="仿宋_GB2312" w:hAnsi="仿宋_GB2312" w:eastAsia="仿宋_GB2312"/>
                <w:sz w:val="28"/>
                <w:szCs w:val="28"/>
                <w:lang w:val="en-US" w:eastAsia="zh-CN"/>
              </w:rPr>
              <w:br w:type="textWrapping"/>
            </w:r>
            <w:r>
              <w:rPr>
                <w:rFonts w:hint="eastAsia" w:ascii="仿宋_GB2312" w:hAnsi="仿宋_GB2312" w:eastAsia="仿宋_GB2312"/>
                <w:sz w:val="28"/>
                <w:szCs w:val="28"/>
                <w:lang w:val="en-US" w:eastAsia="zh-CN"/>
              </w:rPr>
              <w:t>严重差错：每次扣除乙方当年对应出错的项目罚款1000元/次。</w:t>
            </w:r>
          </w:p>
        </w:tc>
        <w:tc>
          <w:tcPr>
            <w:tcW w:w="2106" w:type="dxa"/>
          </w:tcPr>
          <w:p>
            <w:pP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此为业务扣除机制，与考核扣分并行。</w:t>
            </w:r>
          </w:p>
          <w:p>
            <w:pPr>
              <w:ind w:firstLine="560" w:firstLineChars="200"/>
              <w:rPr>
                <w:rFonts w:hint="default" w:ascii="仿宋_GB2312" w:hAns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日常考核</w:t>
            </w:r>
          </w:p>
        </w:tc>
        <w:tc>
          <w:tcPr>
            <w:tcW w:w="246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1.发生一般差错，每次扣5分。</w:t>
            </w:r>
            <w:r>
              <w:rPr>
                <w:rFonts w:hint="eastAsia" w:ascii="仿宋_GB2312" w:hAnsi="仿宋_GB2312" w:eastAsia="仿宋_GB2312"/>
                <w:sz w:val="28"/>
                <w:szCs w:val="28"/>
                <w:lang w:val="en-US" w:eastAsia="zh-CN"/>
              </w:rPr>
              <w:br w:type="textWrapping"/>
            </w:r>
            <w:r>
              <w:rPr>
                <w:rFonts w:hint="eastAsia" w:ascii="仿宋_GB2312" w:hAnsi="仿宋_GB2312" w:eastAsia="仿宋_GB2312"/>
                <w:sz w:val="28"/>
                <w:szCs w:val="28"/>
                <w:lang w:val="en-US" w:eastAsia="zh-CN"/>
              </w:rPr>
              <w:t>2.发生严重差错，每次扣50分。</w:t>
            </w:r>
          </w:p>
        </w:tc>
        <w:tc>
          <w:tcPr>
            <w:tcW w:w="3450"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满分100分，按实际差错扣分。</w:t>
            </w:r>
            <w:r>
              <w:rPr>
                <w:rFonts w:hint="eastAsia" w:ascii="仿宋_GB2312" w:hAnsi="仿宋_GB2312" w:eastAsia="仿宋_GB2312"/>
                <w:sz w:val="28"/>
                <w:szCs w:val="28"/>
                <w:lang w:val="en-US" w:eastAsia="zh-CN"/>
              </w:rPr>
              <w:t>（可详见附件一）</w:t>
            </w:r>
          </w:p>
        </w:tc>
        <w:tc>
          <w:tcPr>
            <w:tcW w:w="2106"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占履约考核总分的70%。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7" w:type="dxa"/>
          </w:tcPr>
          <w:p>
            <w:pPr>
              <w:jc w:val="cente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年终考核</w:t>
            </w:r>
          </w:p>
        </w:tc>
        <w:tc>
          <w:tcPr>
            <w:tcW w:w="2460" w:type="dxa"/>
          </w:tcPr>
          <w:p>
            <w:pPr>
              <w:numPr>
                <w:ilvl w:val="0"/>
                <w:numId w:val="0"/>
              </w:num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结合日常每年进行一次年度考核</w:t>
            </w:r>
          </w:p>
        </w:tc>
        <w:tc>
          <w:tcPr>
            <w:tcW w:w="3450"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满分100分。</w:t>
            </w:r>
          </w:p>
        </w:tc>
        <w:tc>
          <w:tcPr>
            <w:tcW w:w="2106" w:type="dxa"/>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占履约考核总分的30%。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考核权重</w:t>
            </w:r>
          </w:p>
        </w:tc>
        <w:tc>
          <w:tcPr>
            <w:tcW w:w="5910" w:type="dxa"/>
            <w:gridSpan w:val="2"/>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履约考核总得分=日常考核得分×70%+年度考核得分×30%。</w:t>
            </w:r>
          </w:p>
        </w:tc>
        <w:tc>
          <w:tcPr>
            <w:tcW w:w="2106"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综合计算最终考核结果。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677" w:type="dxa"/>
          </w:tcPr>
          <w:p>
            <w:pPr>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考核结果应用</w:t>
            </w:r>
          </w:p>
        </w:tc>
        <w:tc>
          <w:tcPr>
            <w:tcW w:w="5910" w:type="dxa"/>
            <w:gridSpan w:val="2"/>
          </w:tcPr>
          <w:p>
            <w:pP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甲方有权根据乙方的年度履约考核结果，确定乙方第二年的业务承接量。</w:t>
            </w:r>
          </w:p>
        </w:tc>
        <w:tc>
          <w:tcPr>
            <w:tcW w:w="2106" w:type="dxa"/>
          </w:tcPr>
          <w:p>
            <w:pPr>
              <w:rPr>
                <w:rFonts w:hint="default" w:ascii="仿宋_GB2312" w:hAnsi="仿宋_GB2312" w:eastAsia="仿宋_GB2312"/>
                <w:sz w:val="28"/>
                <w:szCs w:val="28"/>
                <w:lang w:val="en-US" w:eastAsia="zh-CN"/>
              </w:rPr>
            </w:pPr>
            <w:r>
              <w:rPr>
                <w:rFonts w:hint="default" w:ascii="仿宋_GB2312" w:hAnsi="仿宋_GB2312" w:eastAsia="仿宋_GB2312"/>
                <w:sz w:val="28"/>
                <w:szCs w:val="28"/>
                <w:lang w:val="en-US" w:eastAsia="zh-CN"/>
              </w:rPr>
              <w:t>考核结果与未来业务量挂钩。</w:t>
            </w:r>
          </w:p>
        </w:tc>
      </w:tr>
    </w:tbl>
    <w:p>
      <w:pP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附件一：</w:t>
      </w:r>
    </w:p>
    <w:p>
      <w:pPr>
        <w:widowControl/>
        <w:jc w:val="center"/>
        <w:rPr>
          <w:rFonts w:hint="eastAsia"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招标代理机构日常考核表</w:t>
      </w:r>
    </w:p>
    <w:tbl>
      <w:tblPr>
        <w:tblStyle w:val="7"/>
        <w:tblpPr w:leftFromText="180" w:rightFromText="180" w:vertAnchor="page" w:horzAnchor="page" w:tblpX="1665" w:tblpY="5222"/>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8"/>
        <w:gridCol w:w="5528"/>
        <w:gridCol w:w="1384"/>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747" w:type="dxa"/>
            <w:gridSpan w:val="4"/>
            <w:vAlign w:val="center"/>
          </w:tcPr>
          <w:p>
            <w:pPr>
              <w:jc w:val="left"/>
              <w:rPr>
                <w:rFonts w:asciiTheme="minorEastAsia" w:hAnsiTheme="minorEastAsia"/>
                <w:b/>
                <w:sz w:val="28"/>
                <w:szCs w:val="28"/>
              </w:rPr>
            </w:pPr>
            <w:r>
              <w:rPr>
                <w:rFonts w:hint="eastAsia" w:asciiTheme="minorEastAsia" w:hAnsiTheme="minorEastAsia"/>
                <w:b/>
                <w:sz w:val="28"/>
                <w:szCs w:val="28"/>
              </w:rPr>
              <w:t>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差错等级</w:t>
            </w:r>
          </w:p>
        </w:tc>
        <w:tc>
          <w:tcPr>
            <w:tcW w:w="5528" w:type="dxa"/>
            <w:vAlign w:val="center"/>
          </w:tcPr>
          <w:p>
            <w:pPr>
              <w:jc w:val="center"/>
              <w:rPr>
                <w:rFonts w:asciiTheme="minorEastAsia" w:hAnsiTheme="minorEastAsia"/>
                <w:b/>
                <w:sz w:val="28"/>
                <w:szCs w:val="28"/>
              </w:rPr>
            </w:pPr>
            <w:r>
              <w:rPr>
                <w:rFonts w:hint="eastAsia" w:asciiTheme="minorEastAsia" w:hAnsiTheme="minorEastAsia"/>
                <w:b/>
                <w:sz w:val="28"/>
                <w:szCs w:val="28"/>
              </w:rPr>
              <w:t>考核指标</w:t>
            </w:r>
          </w:p>
        </w:tc>
        <w:tc>
          <w:tcPr>
            <w:tcW w:w="1384" w:type="dxa"/>
            <w:vAlign w:val="center"/>
          </w:tcPr>
          <w:p>
            <w:pPr>
              <w:jc w:val="center"/>
              <w:rPr>
                <w:rFonts w:asciiTheme="minorEastAsia" w:hAnsiTheme="minorEastAsia"/>
                <w:b/>
                <w:sz w:val="28"/>
                <w:szCs w:val="28"/>
              </w:rPr>
            </w:pPr>
            <w:r>
              <w:rPr>
                <w:rFonts w:hint="eastAsia" w:asciiTheme="minorEastAsia" w:hAnsiTheme="minorEastAsia"/>
                <w:b/>
                <w:sz w:val="28"/>
                <w:szCs w:val="28"/>
              </w:rPr>
              <w:t>是</w:t>
            </w:r>
          </w:p>
        </w:tc>
        <w:tc>
          <w:tcPr>
            <w:tcW w:w="1417" w:type="dxa"/>
            <w:vAlign w:val="center"/>
          </w:tcPr>
          <w:p>
            <w:pPr>
              <w:jc w:val="center"/>
              <w:rPr>
                <w:rFonts w:asciiTheme="minorEastAsia" w:hAnsiTheme="minorEastAsia"/>
                <w:b/>
                <w:sz w:val="28"/>
                <w:szCs w:val="28"/>
              </w:rPr>
            </w:pPr>
            <w:r>
              <w:rPr>
                <w:rFonts w:hint="eastAsia" w:asciiTheme="minorEastAsia" w:hAnsiTheme="minorEastAsia"/>
                <w:b/>
                <w:sz w:val="28"/>
                <w:szCs w:val="28"/>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一般差错</w:t>
            </w: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未在</w:t>
            </w:r>
            <w:r>
              <w:rPr>
                <w:rFonts w:hint="eastAsia" w:asciiTheme="minorEastAsia" w:hAnsiTheme="minorEastAsia"/>
                <w:sz w:val="28"/>
                <w:szCs w:val="28"/>
                <w:lang w:val="en-US" w:eastAsia="zh-CN"/>
              </w:rPr>
              <w:t>甲方</w:t>
            </w:r>
            <w:r>
              <w:rPr>
                <w:rFonts w:hint="eastAsia" w:asciiTheme="minorEastAsia" w:hAnsiTheme="minorEastAsia"/>
                <w:sz w:val="28"/>
                <w:szCs w:val="28"/>
              </w:rPr>
              <w:t>规定时间内</w:t>
            </w:r>
            <w:r>
              <w:rPr>
                <w:rFonts w:hint="eastAsia" w:asciiTheme="minorEastAsia" w:hAnsiTheme="minorEastAsia"/>
                <w:sz w:val="28"/>
                <w:szCs w:val="28"/>
                <w:lang w:val="en-US" w:eastAsia="zh-CN"/>
              </w:rPr>
              <w:t>协助完善采购需求以及</w:t>
            </w:r>
            <w:r>
              <w:rPr>
                <w:rFonts w:hint="eastAsia" w:asciiTheme="minorEastAsia" w:hAnsiTheme="minorEastAsia"/>
                <w:sz w:val="28"/>
                <w:szCs w:val="28"/>
              </w:rPr>
              <w:t>招标文件编制</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sz w:val="28"/>
                <w:szCs w:val="28"/>
              </w:rPr>
              <w:t>评标现场管理不严</w:t>
            </w:r>
            <w:r>
              <w:rPr>
                <w:rFonts w:hint="eastAsia" w:asciiTheme="minorEastAsia" w:hAnsiTheme="minorEastAsia"/>
                <w:sz w:val="28"/>
                <w:szCs w:val="28"/>
                <w:lang w:eastAsia="zh-CN"/>
              </w:rPr>
              <w:t>；</w:t>
            </w:r>
            <w:r>
              <w:rPr>
                <w:rFonts w:hint="eastAsia" w:asciiTheme="minorEastAsia" w:hAnsiTheme="minorEastAsia"/>
                <w:sz w:val="28"/>
                <w:szCs w:val="28"/>
              </w:rPr>
              <w:t>开评标过程存在瑕疵</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rPr>
              <w:t>项目完成后未按时</w:t>
            </w:r>
            <w:r>
              <w:rPr>
                <w:rFonts w:hint="eastAsia" w:asciiTheme="minorEastAsia" w:hAnsiTheme="minorEastAsia"/>
                <w:sz w:val="28"/>
                <w:szCs w:val="28"/>
                <w:lang w:val="en-US" w:eastAsia="zh-CN"/>
              </w:rPr>
              <w:t>提交归档资料以及材料有缺失</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严重差错</w:t>
            </w: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评标算分错误导致评标结果发生实质性改变；</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center"/>
              <w:rPr>
                <w:rFonts w:asciiTheme="minorEastAsia" w:hAnsiTheme="minorEastAsia"/>
                <w:sz w:val="28"/>
                <w:szCs w:val="28"/>
              </w:rPr>
            </w:pPr>
          </w:p>
        </w:tc>
        <w:tc>
          <w:tcPr>
            <w:tcW w:w="5528" w:type="dxa"/>
            <w:vAlign w:val="center"/>
          </w:tcPr>
          <w:p>
            <w:pPr>
              <w:spacing w:line="400" w:lineRule="exact"/>
              <w:jc w:val="left"/>
              <w:rPr>
                <w:rFonts w:asciiTheme="minorEastAsia" w:hAnsiTheme="minorEastAsia"/>
                <w:sz w:val="28"/>
                <w:szCs w:val="28"/>
              </w:rPr>
            </w:pPr>
            <w:r>
              <w:rPr>
                <w:rFonts w:hint="eastAsia" w:asciiTheme="minorEastAsia" w:hAnsiTheme="minorEastAsia"/>
                <w:sz w:val="28"/>
                <w:szCs w:val="28"/>
              </w:rPr>
              <w:t>因代理机构自身原因导致有效投诉。</w:t>
            </w:r>
          </w:p>
        </w:tc>
        <w:tc>
          <w:tcPr>
            <w:tcW w:w="1384" w:type="dxa"/>
            <w:vAlign w:val="center"/>
          </w:tcPr>
          <w:p>
            <w:pPr>
              <w:jc w:val="center"/>
              <w:rPr>
                <w:rFonts w:asciiTheme="minorEastAsia" w:hAnsiTheme="minorEastAsia"/>
                <w:sz w:val="28"/>
                <w:szCs w:val="28"/>
              </w:rPr>
            </w:pPr>
          </w:p>
        </w:tc>
        <w:tc>
          <w:tcPr>
            <w:tcW w:w="1417" w:type="dxa"/>
            <w:vAlign w:val="center"/>
          </w:tcPr>
          <w:p>
            <w:pPr>
              <w:jc w:val="cente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错误数量</w:t>
            </w:r>
          </w:p>
        </w:tc>
        <w:tc>
          <w:tcPr>
            <w:tcW w:w="8329" w:type="dxa"/>
            <w:gridSpan w:val="3"/>
            <w:vAlign w:val="center"/>
          </w:tcPr>
          <w:p>
            <w:pPr>
              <w:jc w:val="left"/>
              <w:rPr>
                <w:rFonts w:asciiTheme="minorEastAsia" w:hAnsiTheme="minorEastAsia"/>
                <w:sz w:val="28"/>
                <w:szCs w:val="28"/>
              </w:rPr>
            </w:pPr>
            <w:r>
              <w:rPr>
                <w:rFonts w:hint="eastAsia" w:asciiTheme="minorEastAsia" w:hAnsiTheme="minorEastAsia"/>
                <w:sz w:val="28"/>
                <w:szCs w:val="28"/>
              </w:rPr>
              <w:t>一般差错：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pPr>
              <w:jc w:val="left"/>
              <w:rPr>
                <w:rFonts w:asciiTheme="minorEastAsia" w:hAnsiTheme="minorEastAsia"/>
                <w:sz w:val="28"/>
                <w:szCs w:val="28"/>
              </w:rPr>
            </w:pPr>
          </w:p>
        </w:tc>
        <w:tc>
          <w:tcPr>
            <w:tcW w:w="8329" w:type="dxa"/>
            <w:gridSpan w:val="3"/>
            <w:vAlign w:val="center"/>
          </w:tcPr>
          <w:p>
            <w:pPr>
              <w:jc w:val="left"/>
              <w:rPr>
                <w:rFonts w:asciiTheme="minorEastAsia" w:hAnsiTheme="minorEastAsia"/>
                <w:sz w:val="28"/>
                <w:szCs w:val="28"/>
              </w:rPr>
            </w:pPr>
            <w:r>
              <w:rPr>
                <w:rFonts w:hint="eastAsia" w:asciiTheme="minorEastAsia" w:hAnsiTheme="minorEastAsia"/>
                <w:sz w:val="28"/>
                <w:szCs w:val="28"/>
              </w:rPr>
              <w:t>严重差错：</w:t>
            </w:r>
          </w:p>
        </w:tc>
      </w:tr>
    </w:tbl>
    <w:p>
      <w:pPr>
        <w:widowControl/>
        <w:jc w:val="both"/>
        <w:rPr>
          <w:rFonts w:hint="default" w:ascii="黑体" w:hAnsi="黑体" w:eastAsia="黑体"/>
          <w:b w:val="0"/>
          <w:bCs/>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1575E"/>
    <w:multiLevelType w:val="multilevel"/>
    <w:tmpl w:val="AF41575E"/>
    <w:lvl w:ilvl="0" w:tentative="0">
      <w:start w:val="1"/>
      <w:numFmt w:val="decimal"/>
      <w:pStyle w:val="11"/>
      <w:lvlText w:val="%1."/>
      <w:lvlJc w:val="left"/>
      <w:pPr>
        <w:ind w:left="0" w:firstLine="0"/>
      </w:pPr>
      <w:rPr>
        <w:rFonts w:hint="default" w:ascii="宋体" w:hAnsi="宋体" w:eastAsia="宋体" w:cs="宋体"/>
        <w:b/>
        <w:bCs/>
        <w:i w:val="0"/>
        <w:caps w:val="0"/>
        <w:strike w:val="0"/>
        <w:dstrike w:val="0"/>
        <w:vanish w:val="0"/>
        <w:sz w:val="24"/>
        <w:vertAlign w:val="baseline"/>
      </w:rPr>
    </w:lvl>
    <w:lvl w:ilvl="1" w:tentative="0">
      <w:start w:val="1"/>
      <w:numFmt w:val="decimal"/>
      <w:lvlText w:val="%1.%2"/>
      <w:lvlJc w:val="left"/>
      <w:pPr>
        <w:ind w:left="0" w:firstLine="0"/>
      </w:pPr>
      <w:rPr>
        <w:rFonts w:hint="eastAsia" w:ascii="宋体" w:hAnsi="宋体" w:eastAsia="宋体"/>
        <w:b w:val="0"/>
        <w:i w:val="0"/>
        <w:caps w:val="0"/>
        <w:strike w:val="0"/>
        <w:dstrike w:val="0"/>
        <w:vanish w:val="0"/>
        <w:sz w:val="24"/>
        <w:vertAlign w:val="baseline"/>
      </w:rPr>
    </w:lvl>
    <w:lvl w:ilvl="2" w:tentative="0">
      <w:start w:val="1"/>
      <w:numFmt w:val="decimal"/>
      <w:lvlText w:val="%1.%2.%3"/>
      <w:lvlJc w:val="left"/>
      <w:pPr>
        <w:ind w:left="0" w:firstLine="0"/>
      </w:pPr>
      <w:rPr>
        <w:rFonts w:hint="eastAsia" w:ascii="宋体" w:hAnsi="宋体" w:eastAsia="宋体"/>
        <w:b w:val="0"/>
        <w:i w:val="0"/>
        <w:caps w:val="0"/>
        <w:strike w:val="0"/>
        <w:dstrike w:val="0"/>
        <w:vanish w:val="0"/>
        <w:sz w:val="24"/>
        <w:vertAlign w:val="baseline"/>
      </w:rPr>
    </w:lvl>
    <w:lvl w:ilvl="3" w:tentative="0">
      <w:start w:val="1"/>
      <w:numFmt w:val="decimal"/>
      <w:lvlText w:val="%1.%2.%3.%4"/>
      <w:lvlJc w:val="left"/>
      <w:pPr>
        <w:ind w:left="0" w:firstLine="0"/>
      </w:pPr>
      <w:rPr>
        <w:rFonts w:hint="eastAsia" w:ascii="宋体" w:hAnsi="宋体" w:eastAsia="宋体"/>
        <w:b w:val="0"/>
        <w:i w:val="0"/>
        <w:caps w:val="0"/>
        <w:strike w:val="0"/>
        <w:dstrike w:val="0"/>
        <w:vanish w:val="0"/>
        <w:sz w:val="24"/>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TYyNDNlYmE3YTIyZTZhYzQyMDFiYzM3YzI2Y2EifQ=="/>
  </w:docVars>
  <w:rsids>
    <w:rsidRoot w:val="0E076736"/>
    <w:rsid w:val="00684664"/>
    <w:rsid w:val="01254533"/>
    <w:rsid w:val="01445BB8"/>
    <w:rsid w:val="01FE0DE4"/>
    <w:rsid w:val="025215F7"/>
    <w:rsid w:val="02B16EC1"/>
    <w:rsid w:val="0301178C"/>
    <w:rsid w:val="062263C8"/>
    <w:rsid w:val="09033AC7"/>
    <w:rsid w:val="097A7FD3"/>
    <w:rsid w:val="099F20DD"/>
    <w:rsid w:val="0B5E1C90"/>
    <w:rsid w:val="0C2865A1"/>
    <w:rsid w:val="0CFB7937"/>
    <w:rsid w:val="0E061248"/>
    <w:rsid w:val="0E076736"/>
    <w:rsid w:val="10155880"/>
    <w:rsid w:val="1124401C"/>
    <w:rsid w:val="12271F2A"/>
    <w:rsid w:val="122B7297"/>
    <w:rsid w:val="126D4B79"/>
    <w:rsid w:val="13E66A2A"/>
    <w:rsid w:val="17955E0F"/>
    <w:rsid w:val="18EE426B"/>
    <w:rsid w:val="19D22EDC"/>
    <w:rsid w:val="1A4F39FB"/>
    <w:rsid w:val="1ADE19BF"/>
    <w:rsid w:val="1B2F67F7"/>
    <w:rsid w:val="1E617E27"/>
    <w:rsid w:val="1FB60890"/>
    <w:rsid w:val="21CB57E3"/>
    <w:rsid w:val="22826766"/>
    <w:rsid w:val="22955F6F"/>
    <w:rsid w:val="239A75C0"/>
    <w:rsid w:val="24572214"/>
    <w:rsid w:val="25B53C60"/>
    <w:rsid w:val="26713B2C"/>
    <w:rsid w:val="2692478D"/>
    <w:rsid w:val="26FF35FF"/>
    <w:rsid w:val="2A562998"/>
    <w:rsid w:val="2BB809A2"/>
    <w:rsid w:val="2BEA4450"/>
    <w:rsid w:val="2CF42FBE"/>
    <w:rsid w:val="2D584FF2"/>
    <w:rsid w:val="2DA32047"/>
    <w:rsid w:val="2DC0401C"/>
    <w:rsid w:val="2F8C503D"/>
    <w:rsid w:val="30335582"/>
    <w:rsid w:val="31BD077A"/>
    <w:rsid w:val="32472899"/>
    <w:rsid w:val="33D837CD"/>
    <w:rsid w:val="33D96E1A"/>
    <w:rsid w:val="351D60FE"/>
    <w:rsid w:val="3567703C"/>
    <w:rsid w:val="36C25BCA"/>
    <w:rsid w:val="38160059"/>
    <w:rsid w:val="3A4C298A"/>
    <w:rsid w:val="3C9C21D4"/>
    <w:rsid w:val="3EF34E56"/>
    <w:rsid w:val="40662EF8"/>
    <w:rsid w:val="41374380"/>
    <w:rsid w:val="41D92EDD"/>
    <w:rsid w:val="43007043"/>
    <w:rsid w:val="43AF64F0"/>
    <w:rsid w:val="43E207D7"/>
    <w:rsid w:val="451B4FDA"/>
    <w:rsid w:val="45234A4C"/>
    <w:rsid w:val="464A7959"/>
    <w:rsid w:val="483B427C"/>
    <w:rsid w:val="48A7046E"/>
    <w:rsid w:val="4B1E0C22"/>
    <w:rsid w:val="4CD879B9"/>
    <w:rsid w:val="4D1251AB"/>
    <w:rsid w:val="4D4A4081"/>
    <w:rsid w:val="4F613AAE"/>
    <w:rsid w:val="504C0E1A"/>
    <w:rsid w:val="564B78C7"/>
    <w:rsid w:val="56675501"/>
    <w:rsid w:val="585453FA"/>
    <w:rsid w:val="59EF5441"/>
    <w:rsid w:val="5C6C78CC"/>
    <w:rsid w:val="5C7025E7"/>
    <w:rsid w:val="5CDC0A44"/>
    <w:rsid w:val="5F723CB8"/>
    <w:rsid w:val="60010C47"/>
    <w:rsid w:val="60F07C8E"/>
    <w:rsid w:val="61520DA2"/>
    <w:rsid w:val="617D5AC1"/>
    <w:rsid w:val="624A233A"/>
    <w:rsid w:val="62615737"/>
    <w:rsid w:val="63E41AE9"/>
    <w:rsid w:val="66000CAF"/>
    <w:rsid w:val="682909FE"/>
    <w:rsid w:val="69A578CA"/>
    <w:rsid w:val="6B2E1BDC"/>
    <w:rsid w:val="6B6D3438"/>
    <w:rsid w:val="6C5B4F12"/>
    <w:rsid w:val="6D4725EA"/>
    <w:rsid w:val="6DB41E41"/>
    <w:rsid w:val="6DF93A61"/>
    <w:rsid w:val="6E972271"/>
    <w:rsid w:val="6F460D88"/>
    <w:rsid w:val="71145A02"/>
    <w:rsid w:val="71D44954"/>
    <w:rsid w:val="726C367A"/>
    <w:rsid w:val="730504ED"/>
    <w:rsid w:val="740F126A"/>
    <w:rsid w:val="74786307"/>
    <w:rsid w:val="764A048A"/>
    <w:rsid w:val="775E5C88"/>
    <w:rsid w:val="776428C6"/>
    <w:rsid w:val="78984EE6"/>
    <w:rsid w:val="79BB3FE7"/>
    <w:rsid w:val="7A322DD8"/>
    <w:rsid w:val="7A4C54B2"/>
    <w:rsid w:val="7C2074CA"/>
    <w:rsid w:val="7C4073FC"/>
    <w:rsid w:val="7C6C1728"/>
    <w:rsid w:val="7C831DD6"/>
    <w:rsid w:val="7CEF0E31"/>
    <w:rsid w:val="7E8E0C9D"/>
    <w:rsid w:val="7F7224F7"/>
    <w:rsid w:val="7F7F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qFormat/>
    <w:uiPriority w:val="0"/>
    <w:rPr>
      <w:color w:val="000000"/>
      <w:u w:val="single"/>
    </w:rPr>
  </w:style>
  <w:style w:type="paragraph" w:customStyle="1" w:styleId="11">
    <w:name w:val="lv1"/>
    <w:basedOn w:val="12"/>
    <w:qFormat/>
    <w:uiPriority w:val="0"/>
    <w:pPr>
      <w:numPr>
        <w:ilvl w:val="0"/>
        <w:numId w:val="1"/>
      </w:numPr>
      <w:adjustRightInd w:val="0"/>
      <w:snapToGrid w:val="0"/>
      <w:spacing w:line="360" w:lineRule="auto"/>
      <w:ind w:firstLine="0" w:firstLineChars="0"/>
      <w:outlineLvl w:val="0"/>
    </w:pPr>
    <w:rPr>
      <w:rFonts w:ascii="Times New Roman" w:hAnsi="Times New Roman" w:eastAsia="宋体" w:cs="Times New Roman (正文 CS 字体)"/>
      <w:b/>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2484</Words>
  <Characters>2562</Characters>
  <Lines>0</Lines>
  <Paragraphs>0</Paragraphs>
  <TotalTime>1</TotalTime>
  <ScaleCrop>false</ScaleCrop>
  <LinksUpToDate>false</LinksUpToDate>
  <CharactersWithSpaces>2563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2025-12-29T06:34:00Z</dcterms:created>
  <dc:creator>王鑫</dc:creator>
  <cp:lastModifiedBy>陈天舒</cp:lastModifiedBy>
  <dcterms:modified xsi:type="dcterms:W3CDTF">2026-03-09T02:09:55Z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489BD73780B4499386DD0C35A70481A2_12</vt:lpwstr>
  </property>
</Properties>
</file>