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6" w:lineRule="auto"/>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rPr>
        <w:t>上海中航航空食品有限公司旅客服务用具用品冰块项目采购需求</w:t>
      </w:r>
    </w:p>
    <w:p>
      <w:pPr>
        <w:spacing w:line="336" w:lineRule="auto"/>
        <w:jc w:val="center"/>
        <w:rPr>
          <w:rFonts w:cs="仿宋_GB2312"/>
          <w:kern w:val="0"/>
          <w:sz w:val="36"/>
          <w:szCs w:val="36"/>
        </w:rPr>
      </w:pPr>
    </w:p>
    <w:p>
      <w:pPr>
        <w:spacing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根据中翼航空投资有限公司标准采购管理规程和上海中航航空食品有限公司采购管理规定，该项目已具备采购条件，现将具体采购需求公告如下：</w:t>
      </w:r>
    </w:p>
    <w:p>
      <w:pPr>
        <w:keepNext w:val="0"/>
        <w:keepLines w:val="0"/>
        <w:pageBreakBefore w:val="0"/>
        <w:widowControl w:val="0"/>
        <w:shd w:val="clea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一、项目概况</w:t>
      </w:r>
    </w:p>
    <w:p>
      <w:pPr>
        <w:spacing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1.项目名称：上海中航航空食品有限公司旅客服务用具用品冰块项目</w:t>
      </w:r>
    </w:p>
    <w:p>
      <w:pPr>
        <w:spacing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.合同期限：自合同签订之日起</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年</w:t>
      </w:r>
    </w:p>
    <w:p>
      <w:pPr>
        <w:spacing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.付款方式：月结110天账期。供应商需提供符合采购人要求的增值税专用发票。</w:t>
      </w:r>
    </w:p>
    <w:p>
      <w:pPr>
        <w:spacing w:line="336" w:lineRule="auto"/>
        <w:ind w:firstLine="640" w:firstLineChars="200"/>
        <w:rPr>
          <w:rFonts w:hint="default" w:ascii="仿宋_GB2312" w:hAnsi="仿宋_GB2312" w:eastAsia="仿宋_GB2312" w:cs="仿宋_GB2312"/>
          <w:color w:val="000000" w:themeColor="text1"/>
          <w:kern w:val="0"/>
          <w:sz w:val="32"/>
          <w:szCs w:val="32"/>
          <w:lang w:val="en-US"/>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.项目地点：浦东（上海市浦东新区领航路100号）、虹桥（上海市闵行区申达五路106号），具体以采购人通知为准</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p>
    <w:p>
      <w:pPr>
        <w:spacing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b w:val="0"/>
          <w:bCs w:val="0"/>
          <w:color w:val="auto"/>
          <w:kern w:val="0"/>
          <w:sz w:val="32"/>
          <w:szCs w:val="32"/>
          <w:highlight w:val="none"/>
        </w:rPr>
        <w:t>二、采购计划批复情况</w:t>
      </w:r>
    </w:p>
    <w:p>
      <w:pPr>
        <w:spacing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本项目已批复。</w:t>
      </w:r>
    </w:p>
    <w:p>
      <w:pPr>
        <w:numPr>
          <w:ilvl w:val="0"/>
          <w:numId w:val="0"/>
        </w:numPr>
        <w:spacing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b w:val="0"/>
          <w:bCs w:val="0"/>
          <w:color w:val="auto"/>
          <w:kern w:val="0"/>
          <w:sz w:val="32"/>
          <w:szCs w:val="32"/>
          <w:highlight w:val="none"/>
          <w:lang w:val="en-US" w:eastAsia="zh-CN"/>
        </w:rPr>
        <w:t>三、</w:t>
      </w:r>
      <w:r>
        <w:rPr>
          <w:rFonts w:hint="eastAsia" w:ascii="黑体" w:hAnsi="黑体" w:eastAsia="黑体" w:cs="黑体"/>
          <w:b w:val="0"/>
          <w:bCs w:val="0"/>
          <w:color w:val="auto"/>
          <w:kern w:val="0"/>
          <w:sz w:val="32"/>
          <w:szCs w:val="32"/>
          <w:highlight w:val="none"/>
        </w:rPr>
        <w:t>采购需求</w:t>
      </w:r>
    </w:p>
    <w:p>
      <w:pPr>
        <w:numPr>
          <w:ilvl w:val="0"/>
          <w:numId w:val="1"/>
        </w:numPr>
        <w:spacing w:line="336" w:lineRule="auto"/>
        <w:ind w:left="480" w:leftChars="0" w:firstLine="0" w:firstLineChars="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产品明细及要求</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pStyle w:val="2"/>
        <w:rPr>
          <w:rFonts w:hint="eastAsia"/>
        </w:rPr>
      </w:pPr>
      <w:bookmarkStart w:id="0" w:name="_GoBack"/>
      <w:bookmarkEnd w:id="0"/>
    </w:p>
    <w:tbl>
      <w:tblPr>
        <w:tblStyle w:val="7"/>
        <w:tblW w:w="8677" w:type="dxa"/>
        <w:jc w:val="center"/>
        <w:tblInd w:w="0" w:type="dxa"/>
        <w:tblLayout w:type="fixed"/>
        <w:tblCellMar>
          <w:top w:w="0" w:type="dxa"/>
          <w:left w:w="0" w:type="dxa"/>
          <w:bottom w:w="0" w:type="dxa"/>
          <w:right w:w="0" w:type="dxa"/>
        </w:tblCellMar>
      </w:tblPr>
      <w:tblGrid>
        <w:gridCol w:w="547"/>
        <w:gridCol w:w="1415"/>
        <w:gridCol w:w="1840"/>
        <w:gridCol w:w="405"/>
        <w:gridCol w:w="2913"/>
        <w:gridCol w:w="1557"/>
      </w:tblGrid>
      <w:tr>
        <w:tblPrEx>
          <w:tblLayout w:type="fixed"/>
          <w:tblCellMar>
            <w:top w:w="0" w:type="dxa"/>
            <w:left w:w="0" w:type="dxa"/>
            <w:bottom w:w="0" w:type="dxa"/>
            <w:right w:w="0" w:type="dxa"/>
          </w:tblCellMar>
        </w:tblPrEx>
        <w:trPr>
          <w:trHeight w:val="44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bCs/>
              </w:rPr>
            </w:pPr>
            <w:r>
              <w:rPr>
                <w:rFonts w:hint="eastAsia" w:ascii="宋体" w:hAnsi="宋体" w:eastAsia="宋体" w:cs="宋体"/>
                <w:bCs/>
                <w:color w:val="000000"/>
                <w:kern w:val="0"/>
                <w:sz w:val="24"/>
                <w:szCs w:val="24"/>
                <w:lang w:bidi="ar"/>
              </w:rPr>
              <w:t>序号</w:t>
            </w:r>
          </w:p>
        </w:tc>
        <w:tc>
          <w:tcPr>
            <w:tcW w:w="141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bCs/>
              </w:rPr>
            </w:pPr>
            <w:r>
              <w:rPr>
                <w:rFonts w:hint="eastAsia" w:ascii="宋体" w:hAnsi="宋体" w:eastAsia="宋体" w:cs="宋体"/>
                <w:bCs/>
                <w:color w:val="000000"/>
                <w:kern w:val="0"/>
                <w:sz w:val="24"/>
                <w:szCs w:val="24"/>
                <w:lang w:bidi="ar"/>
              </w:rPr>
              <w:t>品名</w:t>
            </w:r>
          </w:p>
        </w:tc>
        <w:tc>
          <w:tcPr>
            <w:tcW w:w="18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bCs/>
              </w:rPr>
            </w:pPr>
            <w:r>
              <w:rPr>
                <w:rFonts w:hint="eastAsia" w:ascii="宋体" w:hAnsi="宋体" w:eastAsia="宋体" w:cs="宋体"/>
                <w:bCs/>
                <w:color w:val="000000"/>
                <w:kern w:val="0"/>
                <w:sz w:val="24"/>
                <w:szCs w:val="24"/>
                <w:lang w:bidi="ar"/>
              </w:rPr>
              <w:t>规格</w:t>
            </w:r>
          </w:p>
        </w:tc>
        <w:tc>
          <w:tcPr>
            <w:tcW w:w="4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bCs/>
              </w:rPr>
            </w:pPr>
            <w:r>
              <w:rPr>
                <w:rFonts w:hint="eastAsia" w:ascii="宋体" w:hAnsi="宋体" w:eastAsia="宋体" w:cs="宋体"/>
                <w:bCs/>
                <w:color w:val="000000"/>
                <w:kern w:val="0"/>
                <w:sz w:val="24"/>
                <w:szCs w:val="24"/>
                <w:lang w:bidi="ar"/>
              </w:rPr>
              <w:t>单位</w:t>
            </w:r>
          </w:p>
        </w:tc>
        <w:tc>
          <w:tcPr>
            <w:tcW w:w="291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bCs/>
              </w:rPr>
            </w:pPr>
            <w:r>
              <w:rPr>
                <w:rFonts w:hint="eastAsia" w:ascii="宋体" w:hAnsi="宋体" w:eastAsia="宋体" w:cs="宋体"/>
                <w:bCs/>
                <w:color w:val="000000"/>
                <w:kern w:val="0"/>
                <w:sz w:val="24"/>
                <w:szCs w:val="24"/>
                <w:lang w:bidi="ar"/>
              </w:rPr>
              <w:t>具体要求</w:t>
            </w:r>
          </w:p>
        </w:tc>
        <w:tc>
          <w:tcPr>
            <w:tcW w:w="155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bCs/>
              </w:rPr>
            </w:pPr>
            <w:r>
              <w:rPr>
                <w:rFonts w:hint="eastAsia" w:ascii="宋体" w:hAnsi="宋体" w:eastAsia="宋体" w:cs="宋体"/>
                <w:i w:val="0"/>
                <w:color w:val="000000"/>
                <w:kern w:val="0"/>
                <w:sz w:val="24"/>
                <w:szCs w:val="24"/>
                <w:u w:val="none"/>
                <w:lang w:val="en-US" w:eastAsia="zh-CN" w:bidi="ar"/>
              </w:rPr>
              <w:t>预计年用量</w:t>
            </w:r>
          </w:p>
        </w:tc>
      </w:tr>
      <w:tr>
        <w:tblPrEx>
          <w:tblLayout w:type="fixed"/>
          <w:tblCellMar>
            <w:top w:w="0" w:type="dxa"/>
            <w:left w:w="0" w:type="dxa"/>
            <w:bottom w:w="0" w:type="dxa"/>
            <w:right w:w="0" w:type="dxa"/>
          </w:tblCellMar>
        </w:tblPrEx>
        <w:trPr>
          <w:trHeight w:val="440"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1</w:t>
            </w:r>
          </w:p>
        </w:tc>
        <w:tc>
          <w:tcPr>
            <w:tcW w:w="141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冰块</w:t>
            </w:r>
          </w:p>
        </w:tc>
        <w:tc>
          <w:tcPr>
            <w:tcW w:w="18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2.2cm正方体</w:t>
            </w:r>
          </w:p>
        </w:tc>
        <w:tc>
          <w:tcPr>
            <w:tcW w:w="40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公斤</w:t>
            </w:r>
          </w:p>
        </w:tc>
        <w:tc>
          <w:tcPr>
            <w:tcW w:w="2913"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尺寸要求：2.2cm正方体</w:t>
            </w:r>
          </w:p>
          <w:p>
            <w:pPr>
              <w:keepNext w:val="0"/>
              <w:keepLines w:val="0"/>
              <w:widowControl/>
              <w:suppressLineNumbers w:val="0"/>
              <w:jc w:val="center"/>
              <w:textAlignment w:val="center"/>
              <w:rPr>
                <w:rFonts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val="en-US" w:eastAsia="zh-CN" w:bidi="ar"/>
              </w:rPr>
              <w:t>食用冰块，不得有杂质，</w:t>
            </w:r>
            <w:r>
              <w:rPr>
                <w:rFonts w:hint="eastAsia" w:ascii="宋体" w:hAnsi="宋体" w:eastAsia="宋体" w:cs="宋体"/>
                <w:bCs/>
                <w:color w:val="000000"/>
                <w:kern w:val="0"/>
                <w:sz w:val="24"/>
                <w:szCs w:val="24"/>
                <w:lang w:bidi="ar"/>
              </w:rPr>
              <w:t>不连块</w:t>
            </w:r>
          </w:p>
        </w:tc>
        <w:tc>
          <w:tcPr>
            <w:tcW w:w="155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32000</w:t>
            </w:r>
          </w:p>
        </w:tc>
      </w:tr>
    </w:tbl>
    <w:p>
      <w:pPr>
        <w:numPr>
          <w:ilvl w:val="0"/>
          <w:numId w:val="0"/>
        </w:numPr>
        <w:spacing w:line="336" w:lineRule="auto"/>
        <w:ind w:left="480" w:leftChars="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（二）执行标准</w:t>
      </w:r>
    </w:p>
    <w:p>
      <w:pPr>
        <w:numPr>
          <w:ilvl w:val="0"/>
          <w:numId w:val="0"/>
        </w:numPr>
        <w:spacing w:line="336" w:lineRule="auto"/>
        <w:ind w:left="480" w:leftChars="0"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产品需符合国家预包装产品执行标准，同时符合《中华人民共和国食品安全法》</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《中华人民共和国产品质量法》</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GB5749-2022 生活饮用水卫生标准</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《GB2759-2015 食品安全国家标准冷冻饮品和制作料》</w:t>
      </w:r>
      <w:r>
        <w:rPr>
          <w:rFonts w:hint="eastAsia" w:ascii="仿宋_GB2312" w:hAnsi="仿宋_GB2312" w:eastAsia="仿宋_GB2312" w:cs="仿宋_GB2312"/>
          <w:color w:val="000000" w:themeColor="text1"/>
          <w:kern w:val="0"/>
          <w:sz w:val="32"/>
          <w:szCs w:val="32"/>
          <w14:textFill>
            <w14:solidFill>
              <w14:schemeClr w14:val="tx1"/>
            </w14:solidFill>
          </w14:textFill>
        </w:rPr>
        <w:t>等相关国家法律规定及行业规范。</w:t>
      </w:r>
    </w:p>
    <w:p>
      <w:pPr>
        <w:numPr>
          <w:ilvl w:val="0"/>
          <w:numId w:val="0"/>
        </w:numPr>
        <w:spacing w:line="336" w:lineRule="auto"/>
        <w:ind w:left="480" w:leftChars="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（三）交付时间</w:t>
      </w:r>
    </w:p>
    <w:p>
      <w:pPr>
        <w:numPr>
          <w:ilvl w:val="0"/>
          <w:numId w:val="0"/>
        </w:numPr>
        <w:spacing w:line="336" w:lineRule="auto"/>
        <w:ind w:left="480" w:leftChars="0"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订单确认后3个工作日内完成交付。</w:t>
      </w:r>
    </w:p>
    <w:p>
      <w:pPr>
        <w:numPr>
          <w:ilvl w:val="0"/>
          <w:numId w:val="0"/>
        </w:numPr>
        <w:spacing w:line="336" w:lineRule="auto"/>
        <w:ind w:left="480" w:leftChars="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（四）订单管理</w:t>
      </w:r>
    </w:p>
    <w:p>
      <w:pPr>
        <w:numPr>
          <w:ilvl w:val="0"/>
          <w:numId w:val="0"/>
        </w:numPr>
        <w:spacing w:line="336" w:lineRule="auto"/>
        <w:ind w:left="480" w:leftChars="0"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订单及订单数量等信息以传真、电子邮件、通讯软件等书面形式发出。供应商应在收到订单后当天，回传确认传真、电子邮件、通讯软件。</w:t>
      </w:r>
    </w:p>
    <w:p>
      <w:pPr>
        <w:numPr>
          <w:ilvl w:val="0"/>
          <w:numId w:val="0"/>
        </w:numPr>
        <w:spacing w:line="336" w:lineRule="auto"/>
        <w:ind w:left="480" w:leftChars="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（五）验收标准</w:t>
      </w:r>
    </w:p>
    <w:p>
      <w:pPr>
        <w:numPr>
          <w:ilvl w:val="0"/>
          <w:numId w:val="0"/>
        </w:numPr>
        <w:spacing w:line="336" w:lineRule="auto"/>
        <w:ind w:left="480" w:leftChars="0"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产品在首批供货时需提交一份加盖供应商公章的省级（含）以上第三方检测机构出具的检测报告的复印件，如产品要求清真，需提供厂家的清真证书。型式检验的检测频率应执行该产品标签中标注的执行标准的要求，如该标准未明确规定，则应执行该产品所在申证单元的生产许可审查细则中的相关规定，如上述标准规范均无明确规定的，则该产品的型式检验至少每年开展一次。如执行《SB/T 10648-2012 冷藏调制食品》和《SB/T 10379-2012 速冻调制食品》的产品应按照标准中的明确要求，其型式检验至少每六个月进行一次；执行《GB 19295-2015 食品安全国家标准速冻面米与调制食品》的速冻食品因标准未明确型式检验的要求，其检测频率应按照产品所在申证单元的《速冻食品生产许可证审查细则》的要求至少每年进行两次。型式检验应委托具备资质（CMA或CNAS）的第三方检测机构进行检验，检验报告应加盖CMA或CNAS的印章。</w:t>
      </w:r>
    </w:p>
    <w:p>
      <w:pPr>
        <w:numPr>
          <w:ilvl w:val="0"/>
          <w:numId w:val="0"/>
        </w:numPr>
        <w:spacing w:line="336" w:lineRule="auto"/>
        <w:ind w:left="480" w:leftChars="0"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2.常规供货时需提供加盖供应商公章的该批产品出厂检测报告。</w:t>
      </w:r>
    </w:p>
    <w:p>
      <w:pPr>
        <w:numPr>
          <w:ilvl w:val="0"/>
          <w:numId w:val="0"/>
        </w:numPr>
        <w:spacing w:line="336" w:lineRule="auto"/>
        <w:ind w:left="480" w:leftChars="0"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3.依据合同规定的产品标准进行抽检，产品质量、包装、数量等需符合合同及订单要求。</w:t>
      </w:r>
    </w:p>
    <w:p>
      <w:pPr>
        <w:numPr>
          <w:ilvl w:val="0"/>
          <w:numId w:val="0"/>
        </w:numPr>
        <w:spacing w:line="336" w:lineRule="auto"/>
        <w:ind w:left="480" w:leftChars="0"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4.产品保质期：产品保质期须符合中国有关法律、法规要求，且符合采购人对产品保质期的要求（当日所送产品的保质期不得少于总保质期的三分之二）。</w:t>
      </w:r>
    </w:p>
    <w:p>
      <w:pPr>
        <w:numPr>
          <w:ilvl w:val="0"/>
          <w:numId w:val="0"/>
        </w:numPr>
        <w:spacing w:line="336" w:lineRule="auto"/>
        <w:ind w:left="480" w:leftChars="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（六）费用承担</w:t>
      </w:r>
    </w:p>
    <w:p>
      <w:pPr>
        <w:numPr>
          <w:ilvl w:val="0"/>
          <w:numId w:val="0"/>
        </w:numPr>
        <w:spacing w:line="336" w:lineRule="auto"/>
        <w:ind w:left="480" w:leftChars="0"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供应商将产品从制造商运至采购人指定收货地点的全部运杂费、保险费，以及在采购人收货地点的装卸费，均由供应商承担。</w:t>
      </w:r>
    </w:p>
    <w:p>
      <w:pPr>
        <w:numPr>
          <w:ilvl w:val="0"/>
          <w:numId w:val="0"/>
        </w:numPr>
        <w:spacing w:line="336" w:lineRule="auto"/>
        <w:ind w:left="480" w:leftChars="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（七）备货量要求</w:t>
      </w:r>
    </w:p>
    <w:p>
      <w:pPr>
        <w:numPr>
          <w:ilvl w:val="0"/>
          <w:numId w:val="0"/>
        </w:numPr>
        <w:spacing w:line="336" w:lineRule="auto"/>
        <w:ind w:left="480" w:leftChars="0"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1.供应商须为采购人维持不少于1000公斤的库存备货，确保能够及时响应采购人的紧急采购需求。</w:t>
      </w:r>
    </w:p>
    <w:p>
      <w:pPr>
        <w:numPr>
          <w:ilvl w:val="0"/>
          <w:numId w:val="0"/>
        </w:numPr>
        <w:spacing w:line="336" w:lineRule="auto"/>
        <w:ind w:left="480" w:leftChars="0"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2.供应商不得设立最小起订量，需满足采购人的零星采购需求。</w:t>
      </w:r>
    </w:p>
    <w:p>
      <w:pPr>
        <w:numPr>
          <w:ilvl w:val="0"/>
          <w:numId w:val="0"/>
        </w:numPr>
        <w:spacing w:line="336" w:lineRule="auto"/>
        <w:ind w:left="480" w:leftChars="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（八）售后服务</w:t>
      </w:r>
    </w:p>
    <w:p>
      <w:pPr>
        <w:numPr>
          <w:ilvl w:val="0"/>
          <w:numId w:val="0"/>
        </w:numPr>
        <w:spacing w:line="336" w:lineRule="auto"/>
        <w:ind w:left="480" w:leftChars="0"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供应商应承担以下但不限于以下的售后服务：产品品质的保证；服务承诺的履行；产品资料的提供；不合格产品退货处理；投诉处理；应急情形的处理。</w:t>
      </w:r>
    </w:p>
    <w:p>
      <w:pPr>
        <w:numPr>
          <w:ilvl w:val="0"/>
          <w:numId w:val="0"/>
        </w:numPr>
        <w:spacing w:line="336" w:lineRule="auto"/>
        <w:ind w:left="480" w:leftChars="0"/>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四、供应商资质要求</w:t>
      </w:r>
    </w:p>
    <w:p>
      <w:pPr>
        <w:numPr>
          <w:ilvl w:val="0"/>
          <w:numId w:val="0"/>
        </w:numPr>
        <w:spacing w:line="336" w:lineRule="auto"/>
        <w:ind w:left="480" w:leftChars="0"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1.具备有效的营业执照，经营范围包含与本项目相关的食品生产或经营业务。</w:t>
      </w:r>
    </w:p>
    <w:p>
      <w:pPr>
        <w:numPr>
          <w:ilvl w:val="0"/>
          <w:numId w:val="0"/>
        </w:numPr>
        <w:spacing w:line="336" w:lineRule="auto"/>
        <w:ind w:left="480" w:leftChars="0"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2.具备有效的《食品生产许可证》或《食品经营许可证》（含冷冻冷藏）。</w:t>
      </w:r>
    </w:p>
    <w:sectPr>
      <w:headerReference r:id="rId3" w:type="default"/>
      <w:footerReference r:id="rId4"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宋体" w:hAnsi="宋体" w:eastAsia="宋体" w:cs="宋体"/>
                              <w:sz w:val="28"/>
                              <w:szCs w:val="28"/>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LkphCMUAgAABwQAAA4AAABkcnMvZTJvRG9jLnhtbK1TzY7TMBC+&#10;I/EOlu80aRGlqpquyq6KkCp2pYI4u47TRPIfttukPAC8AScu3HmuPgefnaaLgBPi4kxmxt/MfPN5&#10;cdMpSY7C+cbogo5HOSVCc1M2el/Q9+/Wz2aU+MB0yaTRoqAn4enN8umTRWvnYmJqI0vhCEC0n7e2&#10;oHUIdp5lntdCMT8yVmgEK+MUC/h1+6x0rAW6ktkkz6dZa1xpneHCe3jv+iBdJvyqEjzcV5UXgciC&#10;oreQTpfOXTyz5YLN947ZuuGXNtg/dKFYo1H0CnXHAiMH1/wBpRrujDdVGHGjMlNVDRdpBkwzzn+b&#10;ZlszK9IsIMfbK03+/8Hyt8cHR5qyoBNKNFNY0fnrl/O3H+fvn8kk0tNaP0fW1iIvdK9MhzUPfg9n&#10;nLqrnIpfzEMQB9GnK7miC4TD+XKKfVHCERnPJrMZfoCePV62zofXwigSjYI67C5Ryo4bH/rUISXW&#10;0mbdSJn2JzVpCzp9/iJPF64RgEuNGnGEvtVohW7XXebamfKEsZzpdeEtXzcovmE+PDAHIaBhiDvc&#10;46ikQRFzsSipjfv0N3/Mx34QpaSFsArqPx6YE5TINxqbiyocDDcYu8HQB3VroNUxno3lycQFF+Rg&#10;Vs6oD9D8KlZBiGmOWgUNg3kbennjzXCxWqUkaM2ysNFbyyN0pM/b1SGAwsRspKXn4sIW1JZ2c3kZ&#10;Uc6//qesx/e7/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TNQt90wAAAAYBAAAPAAAAAAAAAAEA&#10;IAAAACIAAABkcnMvZG93bnJldi54bWxQSwECFAAUAAAACACHTuJAuSmEIxQCAAAHBAAADgAAAAAA&#10;AAABACAAAAAiAQAAZHJzL2Uyb0RvYy54bWxQSwUGAAAAAAYABgBZAQAAqAU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1DDA26"/>
    <w:multiLevelType w:val="singleLevel"/>
    <w:tmpl w:val="BA1DDA26"/>
    <w:lvl w:ilvl="0" w:tentative="0">
      <w:start w:val="1"/>
      <w:numFmt w:val="chineseCounting"/>
      <w:suff w:val="nothing"/>
      <w:lvlText w:val="（%1）"/>
      <w:lvlJc w:val="left"/>
      <w:pPr>
        <w:ind w:left="4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DD7"/>
    <w:rsid w:val="00073587"/>
    <w:rsid w:val="000849F7"/>
    <w:rsid w:val="00084E14"/>
    <w:rsid w:val="0013199B"/>
    <w:rsid w:val="001348E1"/>
    <w:rsid w:val="00172A27"/>
    <w:rsid w:val="001808C1"/>
    <w:rsid w:val="001C5795"/>
    <w:rsid w:val="002327A9"/>
    <w:rsid w:val="002B2046"/>
    <w:rsid w:val="00362239"/>
    <w:rsid w:val="00371A25"/>
    <w:rsid w:val="003D1E41"/>
    <w:rsid w:val="00406426"/>
    <w:rsid w:val="00436531"/>
    <w:rsid w:val="004A5B5D"/>
    <w:rsid w:val="005709EB"/>
    <w:rsid w:val="00594C13"/>
    <w:rsid w:val="005B08D1"/>
    <w:rsid w:val="006030BF"/>
    <w:rsid w:val="0065549C"/>
    <w:rsid w:val="006913D3"/>
    <w:rsid w:val="00723A3C"/>
    <w:rsid w:val="00724476"/>
    <w:rsid w:val="00731B46"/>
    <w:rsid w:val="00764CF4"/>
    <w:rsid w:val="00793219"/>
    <w:rsid w:val="007A72FA"/>
    <w:rsid w:val="00804D24"/>
    <w:rsid w:val="008A28DF"/>
    <w:rsid w:val="008C17EF"/>
    <w:rsid w:val="0090411D"/>
    <w:rsid w:val="009B0260"/>
    <w:rsid w:val="009B317D"/>
    <w:rsid w:val="009E7276"/>
    <w:rsid w:val="00AF7503"/>
    <w:rsid w:val="00B747B2"/>
    <w:rsid w:val="00C242FE"/>
    <w:rsid w:val="00CC1EA5"/>
    <w:rsid w:val="00D477D1"/>
    <w:rsid w:val="00E0025A"/>
    <w:rsid w:val="00EC4A37"/>
    <w:rsid w:val="00F61A1A"/>
    <w:rsid w:val="027E0D5C"/>
    <w:rsid w:val="0288510D"/>
    <w:rsid w:val="03F65639"/>
    <w:rsid w:val="0439476B"/>
    <w:rsid w:val="04535333"/>
    <w:rsid w:val="0592078C"/>
    <w:rsid w:val="08B45F1D"/>
    <w:rsid w:val="09BC0BF2"/>
    <w:rsid w:val="09E65969"/>
    <w:rsid w:val="0A0427C0"/>
    <w:rsid w:val="0A2A36B5"/>
    <w:rsid w:val="0A7C072D"/>
    <w:rsid w:val="123A492B"/>
    <w:rsid w:val="166C6F0E"/>
    <w:rsid w:val="176D11F2"/>
    <w:rsid w:val="1771620B"/>
    <w:rsid w:val="1AA15909"/>
    <w:rsid w:val="1B0600CF"/>
    <w:rsid w:val="1B334FDC"/>
    <w:rsid w:val="1C43116E"/>
    <w:rsid w:val="1C642FDF"/>
    <w:rsid w:val="1CA16C6E"/>
    <w:rsid w:val="1F9863EC"/>
    <w:rsid w:val="20176317"/>
    <w:rsid w:val="20FE2548"/>
    <w:rsid w:val="213C0BFB"/>
    <w:rsid w:val="213E18DF"/>
    <w:rsid w:val="24E2348E"/>
    <w:rsid w:val="28532896"/>
    <w:rsid w:val="31B84C6B"/>
    <w:rsid w:val="32145B3F"/>
    <w:rsid w:val="35026A35"/>
    <w:rsid w:val="3720247A"/>
    <w:rsid w:val="38533E46"/>
    <w:rsid w:val="3BB63047"/>
    <w:rsid w:val="3CA5799E"/>
    <w:rsid w:val="3E1306DF"/>
    <w:rsid w:val="3E202345"/>
    <w:rsid w:val="3E837A25"/>
    <w:rsid w:val="3EAC0646"/>
    <w:rsid w:val="400E7274"/>
    <w:rsid w:val="411034B9"/>
    <w:rsid w:val="41767CD6"/>
    <w:rsid w:val="43681F8F"/>
    <w:rsid w:val="457505AF"/>
    <w:rsid w:val="4A6608F4"/>
    <w:rsid w:val="4C5749D5"/>
    <w:rsid w:val="4D973EB3"/>
    <w:rsid w:val="4EEB44B2"/>
    <w:rsid w:val="51772C29"/>
    <w:rsid w:val="533A6782"/>
    <w:rsid w:val="559C360E"/>
    <w:rsid w:val="55D266F0"/>
    <w:rsid w:val="55E35172"/>
    <w:rsid w:val="58143DD2"/>
    <w:rsid w:val="58853C89"/>
    <w:rsid w:val="58FE50EC"/>
    <w:rsid w:val="5A2A4BFF"/>
    <w:rsid w:val="5AB72CAB"/>
    <w:rsid w:val="5AC443EA"/>
    <w:rsid w:val="5D1C6B5C"/>
    <w:rsid w:val="5DFD1613"/>
    <w:rsid w:val="6072184A"/>
    <w:rsid w:val="60EF44AA"/>
    <w:rsid w:val="63326DAF"/>
    <w:rsid w:val="69853663"/>
    <w:rsid w:val="69FB1B10"/>
    <w:rsid w:val="6E0C70E6"/>
    <w:rsid w:val="70931388"/>
    <w:rsid w:val="724B4A8D"/>
    <w:rsid w:val="73137AB1"/>
    <w:rsid w:val="76F60D70"/>
    <w:rsid w:val="77452842"/>
    <w:rsid w:val="778362A6"/>
    <w:rsid w:val="795B5E6D"/>
    <w:rsid w:val="796B3BE9"/>
    <w:rsid w:val="7BFC216B"/>
    <w:rsid w:val="7D69000D"/>
    <w:rsid w:val="7ED0697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pPr>
    <w:rPr>
      <w:color w:val="000000"/>
      <w:kern w:val="2"/>
      <w:sz w:val="24"/>
    </w:rPr>
  </w:style>
  <w:style w:type="paragraph" w:styleId="3">
    <w:name w:val="annotation text"/>
    <w:basedOn w:val="1"/>
    <w:unhideWhenUsed/>
    <w:qFormat/>
    <w:uiPriority w:val="99"/>
    <w:pPr>
      <w:jc w:val="left"/>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列表段落1"/>
    <w:basedOn w:val="1"/>
    <w:qFormat/>
    <w:uiPriority w:val="34"/>
    <w:pPr>
      <w:ind w:firstLine="420" w:firstLineChars="200"/>
    </w:pPr>
    <w:rPr>
      <w:rFonts w:ascii="等线" w:hAnsi="等线" w:eastAsia="等线" w:cs="Times New Roman"/>
    </w:rPr>
  </w:style>
  <w:style w:type="character" w:customStyle="1" w:styleId="9">
    <w:name w:val="页眉 字符"/>
    <w:basedOn w:val="6"/>
    <w:link w:val="5"/>
    <w:qFormat/>
    <w:uiPriority w:val="99"/>
    <w:rPr>
      <w:sz w:val="18"/>
      <w:szCs w:val="18"/>
    </w:rPr>
  </w:style>
  <w:style w:type="character" w:customStyle="1" w:styleId="10">
    <w:name w:val="页脚 字符"/>
    <w:basedOn w:val="6"/>
    <w:link w:val="4"/>
    <w:qFormat/>
    <w:uiPriority w:val="99"/>
    <w:rPr>
      <w:sz w:val="18"/>
      <w:szCs w:val="18"/>
    </w:rPr>
  </w:style>
  <w:style w:type="character" w:customStyle="1" w:styleId="11">
    <w:name w:val="font01"/>
    <w:basedOn w:val="6"/>
    <w:qFormat/>
    <w:uiPriority w:val="0"/>
    <w:rPr>
      <w:rFonts w:hint="eastAsia" w:ascii="仿宋_GB2312" w:eastAsia="仿宋_GB2312" w:cs="仿宋_GB2312"/>
      <w:color w:val="000000"/>
      <w:sz w:val="24"/>
      <w:szCs w:val="24"/>
      <w:u w:val="none"/>
    </w:rPr>
  </w:style>
  <w:style w:type="character" w:customStyle="1" w:styleId="12">
    <w:name w:val="font31"/>
    <w:basedOn w:val="6"/>
    <w:qFormat/>
    <w:uiPriority w:val="0"/>
    <w:rPr>
      <w:rFonts w:hint="eastAsia" w:ascii="等线" w:hAnsi="等线" w:eastAsia="等线" w:cs="等线"/>
      <w:color w:val="000000"/>
      <w:sz w:val="22"/>
      <w:szCs w:val="22"/>
      <w:u w:val="none"/>
    </w:rPr>
  </w:style>
  <w:style w:type="character" w:customStyle="1" w:styleId="13">
    <w:name w:val="font21"/>
    <w:basedOn w:val="6"/>
    <w:qFormat/>
    <w:uiPriority w:val="0"/>
    <w:rPr>
      <w:rFonts w:ascii="Calibri" w:hAnsi="Calibri" w:cs="Calibri"/>
      <w:color w:val="000000"/>
      <w:sz w:val="28"/>
      <w:szCs w:val="28"/>
      <w:u w:val="none"/>
    </w:rPr>
  </w:style>
  <w:style w:type="character" w:customStyle="1" w:styleId="14">
    <w:name w:val="font41"/>
    <w:basedOn w:val="6"/>
    <w:qFormat/>
    <w:uiPriority w:val="0"/>
    <w:rPr>
      <w:rFonts w:hint="eastAsia" w:ascii="宋体" w:hAnsi="宋体" w:eastAsia="宋体" w:cs="宋体"/>
      <w:color w:val="000000"/>
      <w:sz w:val="24"/>
      <w:szCs w:val="24"/>
      <w:u w:val="none"/>
    </w:rPr>
  </w:style>
  <w:style w:type="character" w:customStyle="1" w:styleId="15">
    <w:name w:val="font11"/>
    <w:basedOn w:val="6"/>
    <w:qFormat/>
    <w:uiPriority w:val="0"/>
    <w:rPr>
      <w:rFonts w:ascii="Arial" w:hAnsi="Arial" w:cs="Arial"/>
      <w:b/>
      <w:color w:val="666666"/>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229</Words>
  <Characters>1306</Characters>
  <Lines>10</Lines>
  <Paragraphs>3</Paragraphs>
  <ScaleCrop>false</ScaleCrop>
  <LinksUpToDate>false</LinksUpToDate>
  <CharactersWithSpaces>1532</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葛子靖</cp:lastModifiedBy>
  <cp:lastPrinted>2019-09-09T06:21:00Z</cp:lastPrinted>
  <dcterms:modified xsi:type="dcterms:W3CDTF">2026-01-14T08:06:38Z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4D4287F2463D40AB9D9C88C3E4E31AA4</vt:lpwstr>
  </property>
</Properties>
</file>