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5388440"/>
      <w:bookmarkStart w:id="1" w:name="_Toc477867887"/>
      <w:bookmarkStart w:id="2" w:name="_Toc436398684"/>
      <w:bookmarkStart w:id="3" w:name="_Toc477866966"/>
      <w:bookmarkStart w:id="4" w:name="_Toc486432344"/>
      <w:bookmarkStart w:id="5" w:name="_Toc443999536"/>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7888"/>
      <w:bookmarkStart w:id="8" w:name="_Toc287614844"/>
      <w:bookmarkStart w:id="9" w:name="_Toc436398685"/>
      <w:bookmarkStart w:id="10" w:name="_Toc486432345"/>
      <w:bookmarkStart w:id="11" w:name="_Toc485388441"/>
      <w:bookmarkStart w:id="12" w:name="_Toc462846975"/>
      <w:bookmarkStart w:id="13" w:name="_Toc477866967"/>
      <w:bookmarkStart w:id="14" w:name="_Toc287537731"/>
      <w:bookmarkStart w:id="15" w:name="_Toc44399953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5</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EA11CC2"/>
    <w:rsid w:val="39670102"/>
    <w:rsid w:val="3FC77D5C"/>
    <w:rsid w:val="4BE94136"/>
    <w:rsid w:val="53BE5237"/>
    <w:rsid w:val="5DA85AC7"/>
    <w:rsid w:val="5E2F492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0</TotalTime>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2025-09-16T01:27:11Z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