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浦东厂区生产区域（高配间）空调采购项目采购需求</w:t>
      </w:r>
    </w:p>
    <w:p>
      <w:pPr>
        <w:jc w:val="center"/>
        <w:rPr>
          <w:rFonts w:hint="eastAsia" w:ascii="仿宋" w:hAnsi="仿宋" w:eastAsia="仿宋" w:cs="仿宋"/>
          <w:kern w:val="0"/>
          <w:sz w:val="21"/>
          <w:szCs w:val="21"/>
          <w:lang w:val="en-US" w:eastAsia="zh-CN"/>
        </w:rPr>
      </w:pP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微软雅黑" w:eastAsia="仿宋_GB2312" w:cs="微软雅黑"/>
          <w:color w:val="000000" w:themeColor="text1"/>
          <w:kern w:val="0"/>
          <w:sz w:val="32"/>
          <w:szCs w:val="32"/>
          <w14:textFill>
            <w14:solidFill>
              <w14:schemeClr w14:val="tx1"/>
            </w14:solidFill>
          </w14:textFill>
        </w:rPr>
        <w:t>采购管理规定，该项目已具备采购条件。采购申请具体如下：</w:t>
      </w:r>
    </w:p>
    <w:p>
      <w:pPr>
        <w:pStyle w:val="12"/>
        <w:keepNext w:val="0"/>
        <w:keepLines w:val="0"/>
        <w:pageBreakBefore w:val="0"/>
        <w:numPr>
          <w:ilvl w:val="-1"/>
          <w:numId w:val="0"/>
        </w:numPr>
        <w:kinsoku/>
        <w:wordWrap/>
        <w:overflowPunct/>
        <w:topLinePunct w:val="0"/>
        <w:autoSpaceDE/>
        <w:autoSpaceDN/>
        <w:bidi w:val="0"/>
        <w:adjustRightInd w:val="0"/>
        <w:snapToGrid/>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一、项目概况</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高配间作为重要设备运行区域，为确保设备处于良好运行环境，需新增空调设备，通过调节房间温度，为设备稳定运行提供保障。</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浦东厂区生产区域（高配间）空调采购项目</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3.合同期限：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自合同签订后24个月，质保期2年（含）以上。</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4.交付期限：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合同生效起60个自然日。</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5.付款方式：</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合同签订后预付合同总价的30%，验收合格并收到增值税专用发票后一个月内支付合同总价的65%，质保期到期后支付剩余的5%。</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6.项目地点：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上海市浦东新区领航路100号。</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bookmarkStart w:id="2" w:name="_GoBack"/>
      <w:bookmarkEnd w:id="2"/>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7.执行标准：</w:t>
      </w:r>
    </w:p>
    <w:tbl>
      <w:tblPr>
        <w:tblStyle w:val="8"/>
        <w:tblW w:w="874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5430"/>
        <w:gridCol w:w="24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序号</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ind w:firstLine="560" w:firstLineChars="200"/>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14:textFill>
                  <w14:solidFill>
                    <w14:schemeClr w14:val="tx1"/>
                  </w14:solidFill>
                </w14:textFill>
              </w:rPr>
              <w:t>规范名称</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编号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1</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《转速可控型房间空气调节器能效限定值及能效等级》</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GB 21455-2013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2</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14:textFill>
                  <w14:solidFill>
                    <w14:schemeClr w14:val="tx1"/>
                  </w14:solidFill>
                </w14:textFill>
              </w:rPr>
            </w:pPr>
            <w:r>
              <w:rPr>
                <w:rFonts w:hint="eastAsia" w:ascii="仿宋_GB2312" w:hAnsi="微软雅黑" w:eastAsia="仿宋_GB2312" w:cs="微软雅黑"/>
                <w:color w:val="000000" w:themeColor="text1"/>
                <w:kern w:val="0"/>
                <w:sz w:val="21"/>
                <w:szCs w:val="21"/>
                <w14:textFill>
                  <w14:solidFill>
                    <w14:schemeClr w14:val="tx1"/>
                  </w14:solidFill>
                </w14:textFill>
              </w:rPr>
              <w:t>《房间空气调节器能效限定值及能效等级》</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GB 12021.3—2010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3</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《空调与制冷设备用无缝铜管》</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GB/T 17791-2017</w:t>
            </w:r>
          </w:p>
        </w:tc>
      </w:tr>
    </w:tbl>
    <w:p>
      <w:pPr>
        <w:pStyle w:val="12"/>
        <w:keepNext w:val="0"/>
        <w:keepLines w:val="0"/>
        <w:pageBreakBefore w:val="0"/>
        <w:numPr>
          <w:ilvl w:val="0"/>
          <w:numId w:val="0"/>
        </w:numPr>
        <w:kinsoku/>
        <w:wordWrap/>
        <w:overflowPunct/>
        <w:topLinePunct w:val="0"/>
        <w:autoSpaceDE/>
        <w:autoSpaceDN/>
        <w:bidi w:val="0"/>
        <w:snapToGrid/>
        <w:spacing w:line="336" w:lineRule="auto"/>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12"/>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bidi="ar-SA"/>
          <w14:textFill>
            <w14:solidFill>
              <w14:schemeClr w14:val="tx1"/>
            </w14:solidFill>
          </w14:textFill>
        </w:rPr>
        <w:t>已批复。</w:t>
      </w:r>
    </w:p>
    <w:p>
      <w:pPr>
        <w:pStyle w:val="12"/>
        <w:keepNext w:val="0"/>
        <w:keepLines w:val="0"/>
        <w:pageBreakBefore w:val="0"/>
        <w:numPr>
          <w:ilvl w:val="0"/>
          <w:numId w:val="0"/>
        </w:numPr>
        <w:kinsoku/>
        <w:wordWrap/>
        <w:overflowPunct/>
        <w:topLinePunct w:val="0"/>
        <w:autoSpaceDE/>
        <w:autoSpaceDN/>
        <w:bidi w:val="0"/>
        <w:adjustRightInd w:val="0"/>
        <w:snapToGrid/>
        <w:spacing w:line="336" w:lineRule="auto"/>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三、采购需求</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（一）空调设备详情</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1.分体柜机4套，制冷量≥12kw,电源380V，制冷功率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5.2KW,</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噪音≤60分贝，</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冷媒类型为环保冷媒，</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一级能效，</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安装于高压配电间。</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3.所有空调应具备高低压、排气温度、防冻结、过滤、过压、压机驱动等保护装置。</w:t>
      </w:r>
    </w:p>
    <w:p>
      <w:pPr>
        <w:keepNext w:val="0"/>
        <w:keepLines w:val="0"/>
        <w:pageBreakBefore w:val="0"/>
        <w:kinsoku/>
        <w:wordWrap/>
        <w:overflowPunct/>
        <w:topLinePunct w:val="0"/>
        <w:autoSpaceDE/>
        <w:autoSpaceDN/>
        <w:bidi w:val="0"/>
        <w:snapToGrid/>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4.使用位置在高压配电间，空调使用的制冷剂必须是非危险性的（如：R410A）。</w:t>
      </w:r>
    </w:p>
    <w:p>
      <w:pPr>
        <w:keepNext w:val="0"/>
        <w:keepLines w:val="0"/>
        <w:pageBreakBefore w:val="0"/>
        <w:kinsoku/>
        <w:wordWrap/>
        <w:overflowPunct/>
        <w:topLinePunct w:val="0"/>
        <w:autoSpaceDE/>
        <w:autoSpaceDN/>
        <w:bidi w:val="0"/>
        <w:snapToGrid/>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5.空调所有需要的辅助材料见附件二。</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（二）安装要求</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1.分体柜机的内机安装需不锈钢底座抬高。</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2.新机组室内、外机组的安装、管道连接、保温、电源与控制的安装和连接、设备调试等。</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3.空调机组安装后恢复吊顶至正常状态。</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设备安装人员需具备相关的特种作业操作证资质（如：高低压操作、登高作业等）。</w:t>
      </w:r>
    </w:p>
    <w:p>
      <w:pPr>
        <w:keepNext w:val="0"/>
        <w:keepLines w:val="0"/>
        <w:pageBreakBefore w:val="0"/>
        <w:numPr>
          <w:ilvl w:val="0"/>
          <w:numId w:val="1"/>
        </w:numPr>
        <w:kinsoku/>
        <w:wordWrap/>
        <w:overflowPunct/>
        <w:topLinePunct w:val="0"/>
        <w:autoSpaceDE/>
        <w:autoSpaceDN/>
        <w:bidi w:val="0"/>
        <w:snapToGrid/>
        <w:spacing w:line="336" w:lineRule="auto"/>
        <w:ind w:firstLine="640" w:firstLineChars="200"/>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供应商须勘察现场</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（四）推荐品牌：三菱重工海尔。</w:t>
      </w:r>
    </w:p>
    <w:p>
      <w:pPr>
        <w:pStyle w:val="12"/>
        <w:keepNext w:val="0"/>
        <w:keepLines w:val="0"/>
        <w:pageBreakBefore w:val="0"/>
        <w:numPr>
          <w:ilvl w:val="-1"/>
          <w:numId w:val="0"/>
        </w:numPr>
        <w:kinsoku/>
        <w:wordWrap/>
        <w:overflowPunct/>
        <w:topLinePunct w:val="0"/>
        <w:autoSpaceDE/>
        <w:autoSpaceDN/>
        <w:bidi w:val="0"/>
        <w:adjustRightInd w:val="0"/>
        <w:snapToGrid/>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四、供应商资质</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供应商应</w:t>
      </w:r>
      <w:bookmarkStart w:id="0" w:name="OLE_LINK3"/>
      <w:bookmarkEnd w:id="0"/>
      <w:bookmarkStart w:id="1" w:name="page5"/>
      <w:bookmarkEnd w:id="1"/>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营业范围需包含：生产、销售或安装制冷、空调设备。</w:t>
      </w:r>
    </w:p>
    <w:p>
      <w:pPr>
        <w:pStyle w:val="12"/>
        <w:numPr>
          <w:ilvl w:val="-1"/>
          <w:numId w:val="0"/>
        </w:numPr>
        <w:adjustRightInd w:val="0"/>
        <w:spacing w:line="336" w:lineRule="auto"/>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附件一：报价清单</w:t>
      </w:r>
    </w:p>
    <w:p>
      <w:pPr>
        <w:pStyle w:val="12"/>
        <w:numPr>
          <w:ilvl w:val="-1"/>
          <w:numId w:val="0"/>
        </w:numPr>
        <w:adjustRightInd w:val="0"/>
        <w:spacing w:line="336" w:lineRule="auto"/>
        <w:ind w:leftChars="0" w:firstLine="480" w:firstLineChars="200"/>
        <w:rPr>
          <w:rFonts w:hint="default" w:ascii="黑体" w:hAnsi="黑体" w:eastAsia="黑体" w:cs="微软雅黑"/>
          <w:color w:val="000000" w:themeColor="text1"/>
          <w:kern w:val="0"/>
          <w:sz w:val="24"/>
          <w:szCs w:val="24"/>
          <w:lang w:val="en-US" w:eastAsia="zh-CN"/>
          <w14:textFill>
            <w14:solidFill>
              <w14:schemeClr w14:val="tx1"/>
            </w14:solidFill>
          </w14:textFill>
        </w:rPr>
      </w:pPr>
      <w:r>
        <w:rPr>
          <w:rFonts w:hint="eastAsia" w:ascii="黑体" w:hAnsi="黑体" w:eastAsia="黑体" w:cs="微软雅黑"/>
          <w:color w:val="000000" w:themeColor="text1"/>
          <w:kern w:val="0"/>
          <w:sz w:val="24"/>
          <w:szCs w:val="24"/>
          <w:lang w:val="en-US" w:eastAsia="zh-CN"/>
          <w14:textFill>
            <w14:solidFill>
              <w14:schemeClr w14:val="tx1"/>
            </w14:solidFill>
          </w14:textFill>
        </w:rPr>
        <w:t>（包括供应商完成本项服务所需的场地、物料、人工、设备、运输、搬运、装卸、调试、保险等一切相关费用，以及供应商在此期间所需缴纳的全部税费（含增值税）等费用）</w:t>
      </w:r>
    </w:p>
    <w:tbl>
      <w:tblPr>
        <w:tblStyle w:val="9"/>
        <w:tblW w:w="9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5"/>
        <w:gridCol w:w="900"/>
        <w:gridCol w:w="1065"/>
        <w:gridCol w:w="1203"/>
        <w:gridCol w:w="993"/>
        <w:gridCol w:w="994"/>
        <w:gridCol w:w="107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序号</w:t>
            </w:r>
          </w:p>
        </w:tc>
        <w:tc>
          <w:tcPr>
            <w:tcW w:w="945"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设备</w:t>
            </w:r>
          </w:p>
        </w:tc>
        <w:tc>
          <w:tcPr>
            <w:tcW w:w="900"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数量</w:t>
            </w:r>
          </w:p>
        </w:tc>
        <w:tc>
          <w:tcPr>
            <w:tcW w:w="1065" w:type="dxa"/>
          </w:tcPr>
          <w:p>
            <w:pPr>
              <w:spacing w:line="336" w:lineRule="auto"/>
              <w:rPr>
                <w:rFonts w:hint="default"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t>未税单价</w:t>
            </w:r>
          </w:p>
        </w:tc>
        <w:tc>
          <w:tcPr>
            <w:tcW w:w="1203"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未税</w:t>
            </w:r>
          </w:p>
          <w:p>
            <w:pPr>
              <w:spacing w:line="336" w:lineRule="auto"/>
              <w:jc w:val="center"/>
              <w:rPr>
                <w:rFonts w:hint="default"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总价</w:t>
            </w:r>
          </w:p>
        </w:tc>
        <w:tc>
          <w:tcPr>
            <w:tcW w:w="993"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税率</w:t>
            </w:r>
          </w:p>
        </w:tc>
        <w:tc>
          <w:tcPr>
            <w:tcW w:w="994" w:type="dxa"/>
            <w:vAlign w:val="center"/>
          </w:tcPr>
          <w:p>
            <w:pPr>
              <w:spacing w:line="336" w:lineRule="auto"/>
              <w:jc w:val="center"/>
              <w:rPr>
                <w:rFonts w:hint="default"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未税总价</w:t>
            </w:r>
          </w:p>
        </w:tc>
        <w:tc>
          <w:tcPr>
            <w:tcW w:w="1070"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含税总价</w:t>
            </w:r>
          </w:p>
        </w:tc>
        <w:tc>
          <w:tcPr>
            <w:tcW w:w="1218"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w:t>
            </w:r>
          </w:p>
        </w:tc>
        <w:tc>
          <w:tcPr>
            <w:tcW w:w="945"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柜机</w:t>
            </w:r>
          </w:p>
        </w:tc>
        <w:tc>
          <w:tcPr>
            <w:tcW w:w="900"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w:t>
            </w:r>
          </w:p>
        </w:tc>
        <w:tc>
          <w:tcPr>
            <w:tcW w:w="1065" w:type="dxa"/>
          </w:tcPr>
          <w:p>
            <w:pPr>
              <w:spacing w:line="336" w:lineRule="auto"/>
              <w:rPr>
                <w:rFonts w:hint="eastAsia"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pPr>
          </w:p>
        </w:tc>
        <w:tc>
          <w:tcPr>
            <w:tcW w:w="1203" w:type="dxa"/>
          </w:tcPr>
          <w:p>
            <w:pPr>
              <w:spacing w:line="336" w:lineRule="auto"/>
              <w:rPr>
                <w:rFonts w:hint="eastAsia"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pPr>
          </w:p>
        </w:tc>
        <w:tc>
          <w:tcPr>
            <w:tcW w:w="993" w:type="dxa"/>
          </w:tcPr>
          <w:p>
            <w:pPr>
              <w:spacing w:line="336" w:lineRule="auto"/>
              <w:rPr>
                <w:rFonts w:hint="eastAsia"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pPr>
          </w:p>
        </w:tc>
        <w:tc>
          <w:tcPr>
            <w:tcW w:w="994" w:type="dxa"/>
          </w:tcPr>
          <w:p>
            <w:pPr>
              <w:spacing w:line="336" w:lineRule="auto"/>
              <w:rPr>
                <w:rFonts w:hint="eastAsia"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pPr>
          </w:p>
        </w:tc>
        <w:tc>
          <w:tcPr>
            <w:tcW w:w="1070" w:type="dxa"/>
          </w:tcPr>
          <w:p>
            <w:pPr>
              <w:spacing w:line="336" w:lineRule="auto"/>
              <w:rPr>
                <w:rFonts w:hint="eastAsia"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pPr>
          </w:p>
        </w:tc>
        <w:tc>
          <w:tcPr>
            <w:tcW w:w="1218" w:type="dxa"/>
          </w:tcPr>
          <w:p>
            <w:pPr>
              <w:spacing w:line="336" w:lineRule="auto"/>
              <w:rPr>
                <w:rFonts w:hint="eastAsia"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pPr>
          </w:p>
        </w:tc>
      </w:tr>
    </w:tbl>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p>
    <w:tbl>
      <w:tblPr>
        <w:tblStyle w:val="8"/>
        <w:tblW w:w="56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17"/>
        <w:gridCol w:w="2642"/>
        <w:gridCol w:w="1616"/>
        <w:gridCol w:w="1914"/>
        <w:gridCol w:w="1373"/>
        <w:gridCol w:w="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4" w:type="pct"/>
          <w:trHeight w:val="809" w:hRule="atLeast"/>
        </w:trPr>
        <w:tc>
          <w:tcPr>
            <w:tcW w:w="4745" w:type="pct"/>
            <w:gridSpan w:val="5"/>
            <w:tcBorders>
              <w:top w:val="nil"/>
              <w:left w:val="nil"/>
              <w:bottom w:val="nil"/>
              <w:right w:val="nil"/>
            </w:tcBorders>
            <w:shd w:val="clear" w:color="auto" w:fill="auto"/>
            <w:noWrap/>
            <w:tcMar>
              <w:top w:w="15" w:type="dxa"/>
              <w:left w:w="15" w:type="dxa"/>
              <w:right w:w="15" w:type="dxa"/>
            </w:tcMar>
            <w:vAlign w:val="center"/>
          </w:tcPr>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附件二：空调系统预算安装清单</w:t>
            </w:r>
          </w:p>
          <w:p>
            <w:pPr>
              <w:pStyle w:val="12"/>
              <w:numPr>
                <w:ilvl w:val="-1"/>
                <w:numId w:val="0"/>
              </w:numPr>
              <w:adjustRightInd w:val="0"/>
              <w:spacing w:line="336" w:lineRule="auto"/>
              <w:rPr>
                <w:rFonts w:hint="default" w:ascii="黑体" w:hAnsi="黑体" w:eastAsia="黑体" w:cs="微软雅黑"/>
                <w:color w:val="000000" w:themeColor="text1"/>
                <w:kern w:val="0"/>
                <w:sz w:val="32"/>
                <w:szCs w:val="32"/>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4" w:type="pct"/>
          <w:trHeight w:val="809" w:hRule="atLeast"/>
        </w:trPr>
        <w:tc>
          <w:tcPr>
            <w:tcW w:w="4745"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i w:val="0"/>
                <w:color w:val="000000"/>
                <w:sz w:val="36"/>
                <w:szCs w:val="36"/>
                <w:u w:val="none"/>
                <w:lang w:val="en-US" w:eastAsia="zh-CN"/>
              </w:rPr>
            </w:pPr>
            <w:r>
              <w:rPr>
                <w:rFonts w:hint="eastAsia" w:ascii="宋体" w:hAnsi="宋体" w:eastAsia="宋体" w:cs="宋体"/>
                <w:b/>
                <w:i w:val="0"/>
                <w:color w:val="000000"/>
                <w:sz w:val="36"/>
                <w:szCs w:val="36"/>
                <w:u w:val="none"/>
                <w:lang w:val="en-US" w:eastAsia="zh-CN"/>
              </w:rPr>
              <w:t>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7" w:hRule="atLeast"/>
        </w:trPr>
        <w:tc>
          <w:tcPr>
            <w:tcW w:w="705" w:type="pct"/>
            <w:tcBorders>
              <w:top w:val="single" w:color="000000" w:sz="8" w:space="0"/>
              <w:left w:val="single" w:color="000000" w:sz="8"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1414" w:type="pct"/>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名称</w:t>
            </w:r>
          </w:p>
        </w:tc>
        <w:tc>
          <w:tcPr>
            <w:tcW w:w="865" w:type="pct"/>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型号</w:t>
            </w:r>
          </w:p>
        </w:tc>
        <w:tc>
          <w:tcPr>
            <w:tcW w:w="1024" w:type="pct"/>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数量</w:t>
            </w:r>
          </w:p>
        </w:tc>
        <w:tc>
          <w:tcPr>
            <w:tcW w:w="989" w:type="pct"/>
            <w:gridSpan w:val="2"/>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3"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冷凝水管（带保温及配件）</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DN20~DN40</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40</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线管</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PVC20</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40</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管道氮气保压</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胶水 扎带等</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墙洞 孔径80mm</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安装费</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7</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立柜铜管(含保温/电线）4套*15米</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1"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8</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立柜机内机不锈钢底座（安机器规格，抬高约50cm）</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9"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分体机外机支架304不锈钢材质</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3"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机组电源电缆线5*4（起帆YJV电缆）</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bl>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3496D"/>
    <w:multiLevelType w:val="singleLevel"/>
    <w:tmpl w:val="1D83496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55E73"/>
    <w:rsid w:val="0179692B"/>
    <w:rsid w:val="02F12047"/>
    <w:rsid w:val="02FC0F80"/>
    <w:rsid w:val="034452FE"/>
    <w:rsid w:val="038D13F5"/>
    <w:rsid w:val="04155920"/>
    <w:rsid w:val="04C67F6F"/>
    <w:rsid w:val="06932BBA"/>
    <w:rsid w:val="09AA40ED"/>
    <w:rsid w:val="0A35205B"/>
    <w:rsid w:val="0AB73A40"/>
    <w:rsid w:val="0B1F3D10"/>
    <w:rsid w:val="0B613EDC"/>
    <w:rsid w:val="0C1E413A"/>
    <w:rsid w:val="0F415EE5"/>
    <w:rsid w:val="0FAD30F6"/>
    <w:rsid w:val="107965E8"/>
    <w:rsid w:val="11342E45"/>
    <w:rsid w:val="11DA762E"/>
    <w:rsid w:val="1409166C"/>
    <w:rsid w:val="162F109F"/>
    <w:rsid w:val="16D158CF"/>
    <w:rsid w:val="1755272A"/>
    <w:rsid w:val="177D3694"/>
    <w:rsid w:val="1AD55E87"/>
    <w:rsid w:val="1B0B2EE2"/>
    <w:rsid w:val="1B107B9E"/>
    <w:rsid w:val="1BA11726"/>
    <w:rsid w:val="1C604342"/>
    <w:rsid w:val="1D4875C0"/>
    <w:rsid w:val="1D66148B"/>
    <w:rsid w:val="1FD76D09"/>
    <w:rsid w:val="20074127"/>
    <w:rsid w:val="23242291"/>
    <w:rsid w:val="24226318"/>
    <w:rsid w:val="245F5A32"/>
    <w:rsid w:val="247356F9"/>
    <w:rsid w:val="24E10B09"/>
    <w:rsid w:val="258232B8"/>
    <w:rsid w:val="271A5F6D"/>
    <w:rsid w:val="28DB27E2"/>
    <w:rsid w:val="28E06186"/>
    <w:rsid w:val="2B25715A"/>
    <w:rsid w:val="2B2F0A92"/>
    <w:rsid w:val="2BF90E58"/>
    <w:rsid w:val="2C745D8F"/>
    <w:rsid w:val="2D2112E7"/>
    <w:rsid w:val="2DCA6020"/>
    <w:rsid w:val="2E6F05E7"/>
    <w:rsid w:val="30543114"/>
    <w:rsid w:val="32C471AB"/>
    <w:rsid w:val="33A905CE"/>
    <w:rsid w:val="34137824"/>
    <w:rsid w:val="37B0491D"/>
    <w:rsid w:val="39D04FA7"/>
    <w:rsid w:val="3B542B21"/>
    <w:rsid w:val="3C745A28"/>
    <w:rsid w:val="3D9C3D7C"/>
    <w:rsid w:val="3E065948"/>
    <w:rsid w:val="40394495"/>
    <w:rsid w:val="40781872"/>
    <w:rsid w:val="408349EA"/>
    <w:rsid w:val="42A55139"/>
    <w:rsid w:val="42C2256A"/>
    <w:rsid w:val="44144DEA"/>
    <w:rsid w:val="45CA3685"/>
    <w:rsid w:val="47BB4B72"/>
    <w:rsid w:val="481E3311"/>
    <w:rsid w:val="4B437213"/>
    <w:rsid w:val="4B9B37F0"/>
    <w:rsid w:val="4BBD34B9"/>
    <w:rsid w:val="4BC86581"/>
    <w:rsid w:val="4C4E0035"/>
    <w:rsid w:val="4FDE438F"/>
    <w:rsid w:val="50A41B3A"/>
    <w:rsid w:val="50BE1AE9"/>
    <w:rsid w:val="50FE7B66"/>
    <w:rsid w:val="51017E73"/>
    <w:rsid w:val="515437E4"/>
    <w:rsid w:val="51983D3A"/>
    <w:rsid w:val="51CE1705"/>
    <w:rsid w:val="51D20F93"/>
    <w:rsid w:val="51D751EE"/>
    <w:rsid w:val="52513841"/>
    <w:rsid w:val="52815F13"/>
    <w:rsid w:val="530A3C8D"/>
    <w:rsid w:val="541A7917"/>
    <w:rsid w:val="54224AB4"/>
    <w:rsid w:val="54910E43"/>
    <w:rsid w:val="55A33EB3"/>
    <w:rsid w:val="56B422B6"/>
    <w:rsid w:val="588910F8"/>
    <w:rsid w:val="58DF3976"/>
    <w:rsid w:val="59E264AA"/>
    <w:rsid w:val="5C735B06"/>
    <w:rsid w:val="5D0B5592"/>
    <w:rsid w:val="5DF65816"/>
    <w:rsid w:val="5DFD1613"/>
    <w:rsid w:val="5E19144E"/>
    <w:rsid w:val="5E9F4342"/>
    <w:rsid w:val="5F6C1325"/>
    <w:rsid w:val="6081339D"/>
    <w:rsid w:val="626F601F"/>
    <w:rsid w:val="628D4519"/>
    <w:rsid w:val="63326DAF"/>
    <w:rsid w:val="6431350F"/>
    <w:rsid w:val="6441467C"/>
    <w:rsid w:val="65DF65B1"/>
    <w:rsid w:val="66191A7F"/>
    <w:rsid w:val="6A456AD9"/>
    <w:rsid w:val="6A5C2774"/>
    <w:rsid w:val="6A8C0D6B"/>
    <w:rsid w:val="6B927153"/>
    <w:rsid w:val="6D211D02"/>
    <w:rsid w:val="6DCF1C64"/>
    <w:rsid w:val="6DF22189"/>
    <w:rsid w:val="6DFF62F4"/>
    <w:rsid w:val="6E066A75"/>
    <w:rsid w:val="6E5A7CE9"/>
    <w:rsid w:val="708F684F"/>
    <w:rsid w:val="738A6EA4"/>
    <w:rsid w:val="73C60433"/>
    <w:rsid w:val="747A3606"/>
    <w:rsid w:val="76C944B5"/>
    <w:rsid w:val="76D13DB0"/>
    <w:rsid w:val="76F030DA"/>
    <w:rsid w:val="77366885"/>
    <w:rsid w:val="780104A0"/>
    <w:rsid w:val="79B976ED"/>
    <w:rsid w:val="79F5428E"/>
    <w:rsid w:val="7AAC4CB5"/>
    <w:rsid w:val="7AD247FB"/>
    <w:rsid w:val="7BF41DC0"/>
    <w:rsid w:val="7F531DC3"/>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720" w:firstLineChars="300"/>
    </w:pPr>
    <w:rPr>
      <w:rFonts w:eastAsia="楷体_GB2312"/>
      <w:sz w:val="24"/>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rPr>
      <w:rFonts w:ascii="宋体" w:hAnsi="Courier New" w:cs="Courier New"/>
      <w:b/>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paragraph" w:styleId="12">
    <w:name w:val="List Paragraph"/>
    <w:basedOn w:val="1"/>
    <w:qFormat/>
    <w:uiPriority w:val="34"/>
    <w:pPr>
      <w:ind w:firstLine="420" w:firstLineChars="200"/>
    </w:pPr>
    <w:rPr>
      <w:rFonts w:ascii="等线" w:hAnsi="等线" w:eastAsia="等线" w:cs="Times New Roman"/>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character" w:customStyle="1" w:styleId="15">
    <w:name w:val="font0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1124</Words>
  <Characters>1333</Characters>
  <Lines>11</Lines>
  <Paragraphs>3</Paragraphs>
  <TotalTime>10</TotalTime>
  <ScaleCrop>false</ScaleCrop>
  <LinksUpToDate>false</LinksUpToDate>
  <CharactersWithSpaces>1351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Vicky</cp:lastModifiedBy>
  <cp:lastPrinted>2024-05-27T07:51:00Z</cp:lastPrinted>
  <dcterms:modified xsi:type="dcterms:W3CDTF">2025-10-17T05:33:09Z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y fmtid="{D5CDD505-2E9C-101B-9397-08002B2CF9AE}" pid="4" name="KSOTemplateDocerSaveRecord">
    <vt:lpwstr>eyJoZGlkIjoiY2QwNDg5MDViMTRjNzM1Y2JhYWUwMTI2ZDU4YjNlM2EifQ==</vt:lpwstr>
  </property>
</Properties>
</file>