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kern w:val="0"/>
          <w:sz w:val="44"/>
          <w:szCs w:val="44"/>
          <w:lang w:val="en-US" w:eastAsia="zh-CN"/>
        </w:rPr>
      </w:pPr>
      <w:r>
        <w:rPr>
          <w:rFonts w:hint="eastAsia" w:ascii="宋体" w:hAnsi="宋体" w:eastAsia="宋体" w:cs="宋体"/>
          <w:b/>
          <w:bCs/>
          <w:sz w:val="44"/>
          <w:szCs w:val="44"/>
          <w:lang w:val="en-US" w:eastAsia="zh-CN"/>
        </w:rPr>
        <w:t>楼顶防水工程</w:t>
      </w:r>
      <w:r>
        <w:rPr>
          <w:rFonts w:hint="eastAsia" w:ascii="方正小标宋简体" w:hAnsi="方正小标宋简体" w:eastAsia="方正小标宋简体" w:cs="方正小标宋简体"/>
          <w:kern w:val="0"/>
          <w:sz w:val="44"/>
          <w:szCs w:val="44"/>
        </w:rPr>
        <w:t>项目</w:t>
      </w:r>
      <w:r>
        <w:rPr>
          <w:rFonts w:hint="eastAsia" w:ascii="方正小标宋简体" w:hAnsi="方正小标宋简体" w:eastAsia="方正小标宋简体" w:cs="方正小标宋简体"/>
          <w:kern w:val="0"/>
          <w:sz w:val="44"/>
          <w:szCs w:val="44"/>
          <w:lang w:eastAsia="zh-CN"/>
        </w:rPr>
        <w:t>采购</w:t>
      </w:r>
      <w:r>
        <w:rPr>
          <w:rFonts w:hint="eastAsia" w:ascii="方正小标宋简体" w:hAnsi="方正小标宋简体" w:eastAsia="方正小标宋简体" w:cs="方正小标宋简体"/>
          <w:kern w:val="0"/>
          <w:sz w:val="44"/>
          <w:szCs w:val="44"/>
          <w:lang w:val="en-US" w:eastAsia="zh-CN"/>
        </w:rPr>
        <w:t>需求</w:t>
      </w: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根据中翼航空投资有限公司标准采购管理规程和上海中航航空食品有限公司采购管理规定，该项目已具备采购条件。采购申请具体如下：</w:t>
      </w:r>
    </w:p>
    <w:p>
      <w:pPr>
        <w:ind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上海航食楼顶屋面（维修间外三层屋面）防水使用超25年，老化严重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有部分有漏水现象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，需重新翻新</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上海中航航空食品有限公司楼顶防水工程项目</w:t>
      </w:r>
    </w:p>
    <w:p>
      <w:p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.合同期限：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自合同签订之日起90个自然日，完成楼顶防水层维修铺设和工程验收，质保期24个月。一次采购合同。</w:t>
      </w:r>
    </w:p>
    <w:p>
      <w:pP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90个自然日。</w:t>
      </w:r>
    </w:p>
    <w:p>
      <w:pP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.付款方式：</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合同签订后预付合同总价的15%，施工结束验收合格并收到增值税专用发票后一个月内支付合同总价的70%，质保期到期后支付剩余的5%。</w:t>
      </w:r>
    </w:p>
    <w:p>
      <w:pPr>
        <w:spacing w:line="336" w:lineRule="auto"/>
        <w:ind w:firstLine="640" w:firstLineChars="200"/>
        <w:rPr>
          <w:rFonts w:hint="eastAsia" w:ascii="仿宋_GB2312" w:hAnsi="微软雅黑" w:eastAsia="仿宋_GB2312" w:cs="微软雅黑"/>
          <w:color w:val="000000" w:themeColor="text1"/>
          <w:kern w:val="0"/>
          <w:sz w:val="32"/>
          <w:szCs w:val="32"/>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浦东新区</w:t>
      </w:r>
      <w:r>
        <w:rPr>
          <w:rFonts w:hint="eastAsia" w:ascii="仿宋_GB2312" w:hAnsi="微软雅黑" w:eastAsia="仿宋_GB2312" w:cs="微软雅黑"/>
          <w:color w:val="000000" w:themeColor="text1"/>
          <w:kern w:val="0"/>
          <w:sz w:val="32"/>
          <w:szCs w:val="32"/>
          <w14:textFill>
            <w14:solidFill>
              <w14:schemeClr w14:val="tx1"/>
            </w14:solidFill>
          </w14:textFill>
        </w:rPr>
        <w:t>领航路100号</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7.</w:t>
      </w: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验收标准：符合屋面工程技术规范。材料提供产品合格证和检测报告。并符合需求中的品牌、规格要求。出具验收单，双方验收后签字盖公章。（65%尾款的付款依据）</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8</w:t>
      </w:r>
      <w:bookmarkStart w:id="0" w:name="_GoBack"/>
      <w:bookmarkEnd w:id="0"/>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.执行标准：屋面防水材料应符合GB18173.1-2012《建筑防水卷材 第1部分：沥青防水卷材》和GB/T23457-2009《建筑防水工程验收规范》的相关要求；其次，施工过程需要符合《屋面防水工程施工规范》（GB50075-2002）中的安装规定和施工要求。</w:t>
      </w:r>
    </w:p>
    <w:p>
      <w:pPr>
        <w:pStyle w:val="10"/>
        <w:numPr>
          <w:ilvl w:val="0"/>
          <w:numId w:val="0"/>
        </w:numPr>
        <w:ind w:firstLine="640" w:firstLineChars="200"/>
        <w:rPr>
          <w:rFonts w:ascii="楷体_GB2312" w:hAnsi="微软雅黑" w:eastAsia="楷体_GB2312" w:cs="微软雅黑"/>
          <w:color w:val="000000" w:themeColor="text1"/>
          <w:kern w:val="0"/>
          <w:sz w:val="30"/>
          <w:szCs w:val="30"/>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p>
    <w:p>
      <w:pPr>
        <w:pStyle w:val="10"/>
        <w:numPr>
          <w:ilvl w:val="0"/>
          <w:numId w:val="0"/>
        </w:numPr>
        <w:ind w:leftChars="0" w:firstLine="640" w:firstLineChars="200"/>
        <w:rPr>
          <w:rFonts w:ascii="楷体_GB2312" w:hAnsi="微软雅黑" w:eastAsia="楷体_GB2312" w:cs="微软雅黑"/>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本项目已取得的中翼航空投资有限公司的批复。</w:t>
      </w:r>
    </w:p>
    <w:p>
      <w:pPr>
        <w:pStyle w:val="10"/>
        <w:numPr>
          <w:ilvl w:val="0"/>
          <w:numId w:val="0"/>
        </w:numPr>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w:t>
      </w:r>
      <w:r>
        <w:rPr>
          <w:rFonts w:hint="eastAsia" w:ascii="黑体" w:hAnsi="黑体" w:eastAsia="黑体" w:cs="微软雅黑"/>
          <w:color w:val="000000" w:themeColor="text1"/>
          <w:kern w:val="0"/>
          <w:sz w:val="32"/>
          <w:szCs w:val="32"/>
          <w14:textFill>
            <w14:solidFill>
              <w14:schemeClr w14:val="tx1"/>
            </w14:solidFill>
          </w14:textFill>
        </w:rPr>
        <w:t>采购需求</w:t>
      </w:r>
    </w:p>
    <w:p>
      <w:pPr>
        <w:spacing w:line="336"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报名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供应商</w:t>
      </w:r>
      <w:r>
        <w:rPr>
          <w:rFonts w:hint="eastAsia" w:ascii="仿宋_GB2312" w:hAnsi="仿宋_GB2312" w:eastAsia="仿宋_GB2312" w:cs="仿宋_GB2312"/>
          <w:color w:val="000000" w:themeColor="text1"/>
          <w:kern w:val="0"/>
          <w:sz w:val="32"/>
          <w:szCs w:val="32"/>
          <w14:textFill>
            <w14:solidFill>
              <w14:schemeClr w14:val="tx1"/>
            </w14:solidFill>
          </w14:textFill>
        </w:rPr>
        <w:t>集中看现场，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防水施工区域长40米，宽30米，面积1200平方米，详见附件图纸</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pStyle w:val="10"/>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1.防水层铲除：铲除施工区域内原有防水部位，包括约1200平米的防水材料、长约140米的阴角、阴角收边瓷砖（20mm*20mm）和墙面挡水条等，将拆除下来的垃圾装袋搬运下楼外运处理。</w:t>
      </w:r>
    </w:p>
    <w:p>
      <w:pPr>
        <w:pStyle w:val="10"/>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2.基层处理：铲除防水层后，屋面基层要做平整处理，修补破损基层，方便后续防水层的施工。</w:t>
      </w:r>
    </w:p>
    <w:p>
      <w:pPr>
        <w:pStyle w:val="10"/>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3.底油施工：基层平整、清洁、干燥，达到卷材施工条件后，在基层表面满刷一道冷底子油，涂刷应均匀，不透底，手感不粘时即可进行下道工序。</w:t>
      </w:r>
    </w:p>
    <w:p>
      <w:pPr>
        <w:pStyle w:val="10"/>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铺贴卷材：品牌：东方雨虹，厚度&gt;=4mm。卷材搭接缝处用喷枪加热，压合至边缘挤出沥青粘牢；平立面交角处卷材接缝应留在平面上距立面不小于600mm处转角处；为保证防水效果和使用寿命，新做防水卷材整体铺贴层数为2层。</w:t>
      </w:r>
    </w:p>
    <w:p>
      <w:pPr>
        <w:pStyle w:val="10"/>
        <w:numPr>
          <w:ilvl w:val="0"/>
          <w:numId w:val="0"/>
        </w:numPr>
        <w:ind w:leftChars="0"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5.通气孔修复：施工区域内原有通气孔需原位置更新。</w:t>
      </w:r>
    </w:p>
    <w:p>
      <w:pPr>
        <w:pStyle w:val="10"/>
        <w:numPr>
          <w:ilvl w:val="0"/>
          <w:numId w:val="0"/>
        </w:numPr>
        <w:ind w:leftChars="0"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阴角施工：防水卷材施工完成后进行四周墙角阴角施工，同时做好墙面挡水条和阴角收边贴地砖工作，地砖尺寸为200*200，东面（靠近大办公室过道）收边瓷砖宽度为1400mm(7块地砖)，其他三边收边瓷砖宽度为600mm(3块地砖)。</w:t>
      </w:r>
    </w:p>
    <w:p>
      <w:pPr>
        <w:pStyle w:val="10"/>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6.现场清理：施工结束后清理干净现场，提交验收报告，及时组织双方进行验收。</w:t>
      </w:r>
    </w:p>
    <w:p>
      <w:pPr>
        <w:pStyle w:val="10"/>
        <w:numPr>
          <w:ilvl w:val="0"/>
          <w:numId w:val="0"/>
        </w:numPr>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四、服务要求</w:t>
      </w:r>
    </w:p>
    <w:p>
      <w:pPr>
        <w:pStyle w:val="10"/>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1.项目施工人员提供专业操作相应证件，如焊接操作证、电工证等。</w:t>
      </w:r>
    </w:p>
    <w:p>
      <w:pPr>
        <w:pStyle w:val="10"/>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2本项目金额为闭口包干价，包含所有人工、材料、工具等。</w:t>
      </w:r>
    </w:p>
    <w:p>
      <w:pPr>
        <w:pStyle w:val="10"/>
        <w:numPr>
          <w:ilvl w:val="0"/>
          <w:numId w:val="0"/>
        </w:numPr>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五、供应商资质</w:t>
      </w:r>
    </w:p>
    <w:p>
      <w:pPr>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具有</w:t>
      </w:r>
      <w:r>
        <w:rPr>
          <w:rFonts w:ascii="仿宋_GB2312" w:hAnsi="仿宋_GB2312" w:eastAsia="仿宋_GB2312" w:cs="仿宋_GB2312"/>
          <w:color w:val="000000" w:themeColor="text1"/>
          <w:kern w:val="0"/>
          <w:sz w:val="32"/>
          <w:szCs w:val="32"/>
          <w14:textFill>
            <w14:solidFill>
              <w14:schemeClr w14:val="tx1"/>
            </w14:solidFill>
          </w14:textFill>
        </w:rPr>
        <w:t>有效期内的营业执照及相应的经营范围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建筑</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装饰工程施工、防水工程</w:t>
      </w:r>
      <w:r>
        <w:rPr>
          <w:rFonts w:hint="eastAsia" w:ascii="仿宋_GB2312" w:hAnsi="仿宋_GB2312" w:eastAsia="仿宋_GB2312" w:cs="仿宋_GB2312"/>
          <w:color w:val="000000" w:themeColor="text1"/>
          <w:kern w:val="0"/>
          <w:sz w:val="32"/>
          <w:szCs w:val="32"/>
          <w14:textFill>
            <w14:solidFill>
              <w14:schemeClr w14:val="tx1"/>
            </w14:solidFill>
          </w14:textFill>
        </w:rPr>
        <w:t>等。</w:t>
      </w:r>
    </w:p>
    <w:p>
      <w:pPr>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pPr>
        <w:ind w:firstLine="640" w:firstLineChars="200"/>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附件：图纸</w:t>
      </w:r>
    </w:p>
    <w:p>
      <w:pPr>
        <w:ind w:firstLine="640" w:firstLineChars="200"/>
        <w:jc w:val="left"/>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drawing>
          <wp:inline distT="0" distB="0" distL="114300" distR="114300">
            <wp:extent cx="6534150" cy="5071110"/>
            <wp:effectExtent l="0" t="0" r="15240" b="0"/>
            <wp:docPr id="3" name="图片 3" descr="efe09731cfc3a1a1f0da439877e0d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fe09731cfc3a1a1f0da439877e0d973"/>
                    <pic:cNvPicPr>
                      <a:picLocks noChangeAspect="1"/>
                    </pic:cNvPicPr>
                  </pic:nvPicPr>
                  <pic:blipFill>
                    <a:blip r:embed="rId6"/>
                    <a:stretch>
                      <a:fillRect/>
                    </a:stretch>
                  </pic:blipFill>
                  <pic:spPr>
                    <a:xfrm rot="5400000">
                      <a:off x="0" y="0"/>
                      <a:ext cx="6534150" cy="5071110"/>
                    </a:xfrm>
                    <a:prstGeom prst="rect">
                      <a:avLst/>
                    </a:prstGeom>
                  </pic:spPr>
                </pic:pic>
              </a:graphicData>
            </a:graphic>
          </wp:inline>
        </w:drawing>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49416598"/>
                          </w:sdtPr>
                          <w:sdtEndPr>
                            <w:rPr>
                              <w:rFonts w:ascii="宋体" w:hAnsi="宋体" w:eastAsia="宋体"/>
                              <w:sz w:val="28"/>
                              <w:szCs w:val="28"/>
                            </w:rPr>
                          </w:sdtEndPr>
                          <w:sdtContent>
                            <w:p>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349416598"/>
                    </w:sdtPr>
                    <w:sdtEndPr>
                      <w:rPr>
                        <w:rFonts w:ascii="宋体" w:hAnsi="宋体" w:eastAsia="宋体"/>
                        <w:sz w:val="28"/>
                        <w:szCs w:val="28"/>
                      </w:rPr>
                    </w:sdtEndPr>
                    <w:sdtContent>
                      <w:p>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33984556"/>
                          </w:sdtPr>
                          <w:sdtEndPr>
                            <w:rPr>
                              <w:rFonts w:ascii="宋体" w:hAnsi="宋体" w:eastAsia="宋体"/>
                              <w:sz w:val="28"/>
                              <w:szCs w:val="28"/>
                            </w:rPr>
                          </w:sdtEndPr>
                          <w:sdtContent>
                            <w:p>
                              <w:pPr>
                                <w:pStyle w:val="5"/>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633984556"/>
                    </w:sdtPr>
                    <w:sdtEndPr>
                      <w:rPr>
                        <w:rFonts w:ascii="宋体" w:hAnsi="宋体" w:eastAsia="宋体"/>
                        <w:sz w:val="28"/>
                        <w:szCs w:val="28"/>
                      </w:rPr>
                    </w:sdtEndPr>
                    <w:sdtContent>
                      <w:p>
                        <w:pPr>
                          <w:pStyle w:val="5"/>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FA"/>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34716CB"/>
    <w:rsid w:val="089D5043"/>
    <w:rsid w:val="0B866B9F"/>
    <w:rsid w:val="0F415EE5"/>
    <w:rsid w:val="107D3024"/>
    <w:rsid w:val="12326B43"/>
    <w:rsid w:val="137163EB"/>
    <w:rsid w:val="15907031"/>
    <w:rsid w:val="177A4FFF"/>
    <w:rsid w:val="213C1418"/>
    <w:rsid w:val="298853B3"/>
    <w:rsid w:val="2CB54F3A"/>
    <w:rsid w:val="2EA730FD"/>
    <w:rsid w:val="319E6B2D"/>
    <w:rsid w:val="35D22C22"/>
    <w:rsid w:val="37B0491D"/>
    <w:rsid w:val="39572A90"/>
    <w:rsid w:val="445B149F"/>
    <w:rsid w:val="483F0F14"/>
    <w:rsid w:val="49A457E8"/>
    <w:rsid w:val="4C721958"/>
    <w:rsid w:val="518F525B"/>
    <w:rsid w:val="532A1AE4"/>
    <w:rsid w:val="53D413D5"/>
    <w:rsid w:val="541F77B5"/>
    <w:rsid w:val="54F61935"/>
    <w:rsid w:val="55A33EB3"/>
    <w:rsid w:val="5B1623BA"/>
    <w:rsid w:val="5B745B7C"/>
    <w:rsid w:val="5DFD1613"/>
    <w:rsid w:val="60023DE9"/>
    <w:rsid w:val="60EF4FD5"/>
    <w:rsid w:val="63326DAF"/>
    <w:rsid w:val="66D87C6D"/>
    <w:rsid w:val="6A0129E3"/>
    <w:rsid w:val="6B287C92"/>
    <w:rsid w:val="6F2532C3"/>
    <w:rsid w:val="70FB74E6"/>
    <w:rsid w:val="764833E5"/>
    <w:rsid w:val="78E70669"/>
    <w:rsid w:val="7F531DC3"/>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pPr>
      <w:spacing w:after="120"/>
    </w:pPr>
    <w:rPr>
      <w:rFonts w:ascii="Calibri" w:hAnsi="Calibri" w:eastAsia="宋体"/>
      <w:sz w:val="24"/>
      <w:szCs w:val="22"/>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List Paragraph"/>
    <w:basedOn w:val="1"/>
    <w:qFormat/>
    <w:uiPriority w:val="34"/>
    <w:pPr>
      <w:ind w:firstLine="420" w:firstLineChars="200"/>
    </w:pPr>
    <w:rPr>
      <w:rFonts w:ascii="等线" w:hAnsi="等线" w:eastAsia="等线" w:cs="Times New Roman"/>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font01"/>
    <w:basedOn w:val="9"/>
    <w:qFormat/>
    <w:uiPriority w:val="0"/>
    <w:rPr>
      <w:rFonts w:hint="eastAsia" w:ascii="仿宋_GB2312" w:eastAsia="仿宋_GB2312" w:cs="仿宋_GB2312"/>
      <w:color w:val="000000"/>
      <w:sz w:val="24"/>
      <w:szCs w:val="24"/>
      <w:u w:val="none"/>
    </w:rPr>
  </w:style>
  <w:style w:type="paragraph" w:customStyle="1" w:styleId="1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Words>
  <Characters>1331</Characters>
  <Lines>11</Lines>
  <Paragraphs>3</Paragraphs>
  <TotalTime>8</TotalTime>
  <ScaleCrop>false</ScaleCrop>
  <LinksUpToDate>false</LinksUpToDate>
  <CharactersWithSpaces>1561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韩笑然</cp:lastModifiedBy>
  <cp:lastPrinted>2025-10-11T06:07:00Z</cp:lastPrinted>
  <dcterms:modified xsi:type="dcterms:W3CDTF">2025-10-16T01:22:08Z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