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浦东厂区清洗间脏区吊顶及风口更换项目</w:t>
      </w: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清洗间吊顶龙骨生锈，腐烂吊顶板有脱漏风险，故吊顶进行维修更换。</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上海中航航空食品有限公司浦东厂区清洗间脏区吊顶及风口更换项目</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自合同签订之日起60个自然日内，完成</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吊顶维修更换</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和项目验收后，质保期24个月。</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60个自然日内。</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合同签订后预付合同总价的15%，验收合格并收到增值税专用发票后一个月内支付合同总价的80%，质保期到期后支付剩余的5%。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firstLineChars="200"/>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7.验收标准：符合</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室内天花板装饰装修设计与施工规范</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。材料提供产品合格证和检测报告。出具验收单，双方验收后签字盖公章。（80%尾款的付款依据）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firstLineChars="200"/>
        <w:rPr>
          <w:rFonts w:hint="default" w:ascii="仿宋_GB2312" w:hAnsi="微软雅黑" w:eastAsia="宋体"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8</w:t>
      </w:r>
      <w:bookmarkStart w:id="0" w:name="_GoBack"/>
      <w:bookmarkEnd w:id="0"/>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.执行标准：GB/T 23444-2009《金属扣板吊顶》;GB/T 28647-2012《建筑节能综合配件技术条件》和</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GB 50211-2014</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室内天花板装饰装修设计与施工规范</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w:t>
      </w:r>
    </w:p>
    <w:p>
      <w:pPr>
        <w:pStyle w:val="10"/>
        <w:numPr>
          <w:ilvl w:val="0"/>
          <w:numId w:val="0"/>
        </w:numPr>
        <w:ind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0"/>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本项目已取得的批复。</w:t>
      </w:r>
    </w:p>
    <w:p>
      <w:pPr>
        <w:pStyle w:val="10"/>
        <w:numPr>
          <w:ilvl w:val="0"/>
          <w:numId w:val="0"/>
        </w:numPr>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三、技术要求</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对以下需求数据有异议的，请在三个工作日内以书面形式提出，不提出异议的视为默认。</w:t>
      </w:r>
    </w:p>
    <w:p>
      <w:pPr>
        <w:numPr>
          <w:ilvl w:val="0"/>
          <w:numId w:val="0"/>
        </w:num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1.施工区域:一楼清洗间脏区吊顶维修更换不锈钢龙骨合计268</w:t>
      </w:r>
      <w:r>
        <w:rPr>
          <w:rFonts w:hint="eastAsia" w:ascii="仿宋_GB2312" w:hAnsi="仿宋_GB2312" w:eastAsia="仿宋_GB2312" w:cs="仿宋_GB2312"/>
          <w:color w:val="auto"/>
          <w:kern w:val="2"/>
          <w:sz w:val="32"/>
          <w:szCs w:val="32"/>
          <w:lang w:val="en-US" w:eastAsia="zh-CN" w:bidi="ar-SA"/>
        </w:rPr>
        <w:t>㎡.（吊顶板为600*600不锈钢板，龙骨型号118#）</w:t>
      </w:r>
    </w:p>
    <w:p>
      <w:pPr>
        <w:numPr>
          <w:ilvl w:val="0"/>
          <w:numId w:val="0"/>
        </w:numPr>
        <w:spacing w:line="336"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2.施工步骤：清洗间按甲方要求在不影响正常生产的情况下不少于3次施工，施工前设置临时防尘围挡后，</w:t>
      </w:r>
      <w:r>
        <w:rPr>
          <w:rFonts w:hint="eastAsia" w:ascii="仿宋_GB2312" w:hAnsi="仿宋_GB2312" w:eastAsia="仿宋_GB2312" w:cs="仿宋_GB2312"/>
          <w:color w:val="auto"/>
          <w:sz w:val="32"/>
          <w:szCs w:val="32"/>
          <w:lang w:val="en-US"/>
        </w:rPr>
        <w:t>拆除</w:t>
      </w:r>
      <w:r>
        <w:rPr>
          <w:rFonts w:hint="eastAsia" w:ascii="仿宋_GB2312" w:hAnsi="仿宋_GB2312" w:eastAsia="仿宋_GB2312" w:cs="仿宋_GB2312"/>
          <w:color w:val="auto"/>
          <w:sz w:val="32"/>
          <w:szCs w:val="32"/>
          <w:lang w:val="en-US" w:eastAsia="zh-CN"/>
        </w:rPr>
        <w:t>围挡内不锈钢吊顶板，</w:t>
      </w:r>
      <w:r>
        <w:rPr>
          <w:rFonts w:hint="eastAsia" w:ascii="仿宋_GB2312" w:hAnsi="仿宋_GB2312" w:eastAsia="仿宋_GB2312" w:cs="仿宋_GB2312"/>
          <w:color w:val="auto"/>
          <w:sz w:val="32"/>
          <w:szCs w:val="32"/>
          <w:highlight w:val="none"/>
          <w:lang w:val="en-US" w:eastAsia="zh-CN"/>
        </w:rPr>
        <w:t>更换220米原主龙骨同规格的龙骨，副龙骨更换成不锈钢龙骨，保证不锈钢</w:t>
      </w:r>
      <w:r>
        <w:rPr>
          <w:rFonts w:hint="eastAsia" w:ascii="仿宋_GB2312" w:hAnsi="仿宋_GB2312" w:eastAsia="仿宋_GB2312" w:cs="仿宋_GB2312"/>
          <w:color w:val="auto"/>
          <w:sz w:val="32"/>
          <w:szCs w:val="32"/>
          <w:lang w:val="en-US" w:eastAsia="zh-CN"/>
        </w:rPr>
        <w:t>扣板安装牢固不脱漏。施工期间对区域内生产设备做好遮盖。</w:t>
      </w:r>
    </w:p>
    <w:p>
      <w:pPr>
        <w:numPr>
          <w:ilvl w:val="0"/>
          <w:numId w:val="0"/>
        </w:numPr>
        <w:spacing w:line="336"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3.吊顶施工要考虑现有空调风口、照明灯、消防设施的使用，所涉及的配件由承包方提供。施工完成后原有设备设施要能正常使用。</w:t>
      </w:r>
    </w:p>
    <w:p>
      <w:pPr>
        <w:pStyle w:val="10"/>
        <w:numPr>
          <w:ilvl w:val="0"/>
          <w:numId w:val="1"/>
        </w:numPr>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服务要求</w:t>
      </w:r>
    </w:p>
    <w:p>
      <w:pPr>
        <w:pStyle w:val="10"/>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拆除原有吊顶及龙骨，存放指定位置</w:t>
      </w:r>
      <w:r>
        <w:rPr>
          <w:rFonts w:hint="eastAsia" w:ascii="仿宋_GB2312" w:hAnsi="仿宋_GB2312" w:eastAsia="仿宋_GB2312" w:cs="仿宋_GB2312"/>
          <w:color w:val="auto"/>
          <w:sz w:val="32"/>
          <w:szCs w:val="32"/>
          <w:lang w:val="en-US" w:eastAsia="zh-CN"/>
        </w:rPr>
        <w:t>;施工结束后负责垃圾清运退场。</w:t>
      </w:r>
    </w:p>
    <w:p>
      <w:pPr>
        <w:pStyle w:val="10"/>
        <w:numPr>
          <w:ilvl w:val="0"/>
          <w:numId w:val="0"/>
        </w:numP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2.安装吊顶</w:t>
      </w:r>
      <w:r>
        <w:rPr>
          <w:rFonts w:hint="eastAsia" w:ascii="仿宋_GB2312" w:hAnsi="仿宋_GB2312" w:eastAsia="仿宋_GB2312" w:cs="仿宋_GB2312"/>
          <w:color w:val="auto"/>
          <w:sz w:val="32"/>
          <w:szCs w:val="32"/>
          <w:lang w:val="en-US"/>
        </w:rPr>
        <w:t>平整，高度差1cm以内，</w:t>
      </w:r>
      <w:r>
        <w:rPr>
          <w:rFonts w:hint="eastAsia" w:ascii="仿宋_GB2312" w:hAnsi="仿宋_GB2312" w:eastAsia="仿宋_GB2312" w:cs="仿宋_GB2312"/>
          <w:color w:val="auto"/>
          <w:sz w:val="32"/>
          <w:szCs w:val="32"/>
          <w:lang w:val="en-US" w:eastAsia="zh-CN"/>
        </w:rPr>
        <w:t>吊顶</w:t>
      </w:r>
      <w:r>
        <w:rPr>
          <w:rFonts w:hint="eastAsia" w:ascii="仿宋_GB2312" w:hAnsi="仿宋_GB2312" w:eastAsia="仿宋_GB2312" w:cs="仿宋_GB2312"/>
          <w:color w:val="auto"/>
          <w:sz w:val="32"/>
          <w:szCs w:val="32"/>
          <w:lang w:val="en-US"/>
        </w:rPr>
        <w:t>板接缝整齐。</w:t>
      </w:r>
    </w:p>
    <w:p>
      <w:pPr>
        <w:pStyle w:val="10"/>
        <w:numPr>
          <w:ilvl w:val="0"/>
          <w:numId w:val="0"/>
        </w:numP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分段进行，晚上施工。</w:t>
      </w:r>
    </w:p>
    <w:p>
      <w:pPr>
        <w:pStyle w:val="10"/>
        <w:numPr>
          <w:ilvl w:val="0"/>
          <w:numId w:val="0"/>
        </w:numPr>
        <w:ind w:left="638" w:leftChars="304"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rPr>
        <w:t>施工人员具备《焊接操作证书》《高空作业证书》</w:t>
      </w:r>
      <w:r>
        <w:rPr>
          <w:rFonts w:hint="eastAsia" w:ascii="仿宋_GB2312" w:hAnsi="仿宋_GB2312" w:eastAsia="仿宋_GB2312" w:cs="仿宋_GB2312"/>
          <w:color w:val="auto"/>
          <w:sz w:val="32"/>
          <w:szCs w:val="32"/>
          <w:lang w:val="en-US" w:eastAsia="zh-CN"/>
        </w:rPr>
        <w:t>。</w:t>
      </w:r>
    </w:p>
    <w:p>
      <w:pPr>
        <w:pStyle w:val="10"/>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5.本项目金额为闭口包干价，包含所有人工、材料、工具等。</w:t>
      </w:r>
    </w:p>
    <w:p>
      <w:pPr>
        <w:pStyle w:val="10"/>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0"/>
        <w:numPr>
          <w:ilvl w:val="0"/>
          <w:numId w:val="0"/>
        </w:num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具有有效期内的营业执照及相应的经营范围:·建筑装饰工程施工、防水工程等。。</w:t>
      </w:r>
    </w:p>
    <w:p>
      <w:pPr>
        <w:pStyle w:val="10"/>
        <w:numPr>
          <w:ilvl w:val="0"/>
          <w:numId w:val="0"/>
        </w:numPr>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参与投标必须具备建筑工程施工总承包参级(含)以上资质或建筑装修装饰工程专业承包贰级(含)以上资质;</w:t>
      </w:r>
    </w:p>
    <w:p>
      <w:pPr>
        <w:pStyle w:val="10"/>
        <w:numPr>
          <w:ilvl w:val="0"/>
          <w:numId w:val="0"/>
        </w:num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附件 报价单</w:t>
      </w:r>
    </w:p>
    <w:p>
      <w:pP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方式</w:t>
      </w:r>
    </w:p>
    <w:p>
      <w:pPr>
        <w:numPr>
          <w:ilvl w:val="0"/>
          <w:numId w:val="2"/>
        </w:numP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项目总价</w:t>
      </w:r>
    </w:p>
    <w:tbl>
      <w:tblPr>
        <w:tblStyle w:val="8"/>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3149"/>
        <w:gridCol w:w="1341"/>
        <w:gridCol w:w="1380"/>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8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区域</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税金</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主龙骨</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220米</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清洗间吊顶材料费、人工费</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6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总价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numPr>
          <w:ilvl w:val="0"/>
          <w:numId w:val="2"/>
        </w:numPr>
        <w:ind w:left="0" w:leftChars="0" w:firstLine="0" w:firstLineChars="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材料报价</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2035"/>
        <w:gridCol w:w="1303"/>
        <w:gridCol w:w="715"/>
        <w:gridCol w:w="1092"/>
        <w:gridCol w:w="832"/>
        <w:gridCol w:w="600"/>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282"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名称</w:t>
            </w:r>
          </w:p>
        </w:tc>
        <w:tc>
          <w:tcPr>
            <w:tcW w:w="782"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规格型号</w:t>
            </w:r>
          </w:p>
        </w:tc>
        <w:tc>
          <w:tcPr>
            <w:tcW w:w="4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需求数量</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含税单价 （税金 %）</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221"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不锈钢龙骨及辅材（不锈钢封边条）</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118#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平米</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268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282"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2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人工费</w:t>
            </w:r>
          </w:p>
        </w:tc>
        <w:tc>
          <w:tcPr>
            <w:tcW w:w="782"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平米</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268</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含：吊顶拆除/垃圾清运费</w:t>
            </w:r>
          </w:p>
        </w:tc>
      </w:tr>
    </w:tbl>
    <w:p>
      <w:pP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应含垃圾清运费、拆除费</w:t>
      </w:r>
    </w:p>
    <w:p>
      <w:pP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C3421"/>
    <w:multiLevelType w:val="singleLevel"/>
    <w:tmpl w:val="2D0C3421"/>
    <w:lvl w:ilvl="0" w:tentative="0">
      <w:start w:val="4"/>
      <w:numFmt w:val="chineseCounting"/>
      <w:suff w:val="nothing"/>
      <w:lvlText w:val="%1、"/>
      <w:lvlJc w:val="left"/>
      <w:rPr>
        <w:rFonts w:hint="eastAsia"/>
      </w:rPr>
    </w:lvl>
  </w:abstractNum>
  <w:abstractNum w:abstractNumId="1">
    <w:nsid w:val="6E54D40F"/>
    <w:multiLevelType w:val="singleLevel"/>
    <w:tmpl w:val="6E54D40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25825F8"/>
    <w:rsid w:val="03473C95"/>
    <w:rsid w:val="038F1F59"/>
    <w:rsid w:val="089D5043"/>
    <w:rsid w:val="09172DB6"/>
    <w:rsid w:val="0B866B9F"/>
    <w:rsid w:val="0C4427BE"/>
    <w:rsid w:val="0F415EE5"/>
    <w:rsid w:val="0F533CD8"/>
    <w:rsid w:val="0FFD2F59"/>
    <w:rsid w:val="108549AD"/>
    <w:rsid w:val="13634A5D"/>
    <w:rsid w:val="15907031"/>
    <w:rsid w:val="177A4FFF"/>
    <w:rsid w:val="189F6E42"/>
    <w:rsid w:val="1EF669A8"/>
    <w:rsid w:val="1F6A320D"/>
    <w:rsid w:val="20D35E8A"/>
    <w:rsid w:val="23262FFC"/>
    <w:rsid w:val="242A0CDA"/>
    <w:rsid w:val="292C0B07"/>
    <w:rsid w:val="294A2F41"/>
    <w:rsid w:val="2A140127"/>
    <w:rsid w:val="2A5F77FB"/>
    <w:rsid w:val="2CB54F3A"/>
    <w:rsid w:val="2CDE59F0"/>
    <w:rsid w:val="2EA730FD"/>
    <w:rsid w:val="32FC19DD"/>
    <w:rsid w:val="35D22C22"/>
    <w:rsid w:val="36B14563"/>
    <w:rsid w:val="3782762A"/>
    <w:rsid w:val="37B0491D"/>
    <w:rsid w:val="43D901E6"/>
    <w:rsid w:val="445B149F"/>
    <w:rsid w:val="451B4E7C"/>
    <w:rsid w:val="46797F6F"/>
    <w:rsid w:val="483F0F14"/>
    <w:rsid w:val="4C2B5E1D"/>
    <w:rsid w:val="4C721958"/>
    <w:rsid w:val="4E9A2F4D"/>
    <w:rsid w:val="4F1D1D35"/>
    <w:rsid w:val="4F333774"/>
    <w:rsid w:val="50E525A6"/>
    <w:rsid w:val="518F525B"/>
    <w:rsid w:val="532A1AE4"/>
    <w:rsid w:val="53D413D5"/>
    <w:rsid w:val="541F77B5"/>
    <w:rsid w:val="54F61935"/>
    <w:rsid w:val="55A33EB3"/>
    <w:rsid w:val="57D343E0"/>
    <w:rsid w:val="58D37634"/>
    <w:rsid w:val="5B1623BA"/>
    <w:rsid w:val="5B745B7C"/>
    <w:rsid w:val="5D0A2759"/>
    <w:rsid w:val="5DFD1613"/>
    <w:rsid w:val="61333F22"/>
    <w:rsid w:val="61377790"/>
    <w:rsid w:val="62386692"/>
    <w:rsid w:val="63326DAF"/>
    <w:rsid w:val="66D87C6D"/>
    <w:rsid w:val="6B287C92"/>
    <w:rsid w:val="6F2532C3"/>
    <w:rsid w:val="6F6A5C2E"/>
    <w:rsid w:val="6FF7323D"/>
    <w:rsid w:val="70636EBE"/>
    <w:rsid w:val="73165094"/>
    <w:rsid w:val="764833E5"/>
    <w:rsid w:val="768B47CE"/>
    <w:rsid w:val="78E70669"/>
    <w:rsid w:val="7B4A6FF9"/>
    <w:rsid w:val="7B7C5B05"/>
    <w:rsid w:val="7C647F31"/>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rFonts w:ascii="Calibri" w:hAnsi="Calibri" w:eastAsia="宋体"/>
      <w:sz w:val="24"/>
      <w:szCs w:val="2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407</Words>
  <Characters>429</Characters>
  <Lines>11</Lines>
  <Paragraphs>3</Paragraphs>
  <TotalTime>3900</TotalTime>
  <ScaleCrop>false</ScaleCrop>
  <LinksUpToDate>false</LinksUpToDate>
  <CharactersWithSpaces>430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2024-06-21T05:46:00Z</cp:lastPrinted>
  <dcterms:modified xsi:type="dcterms:W3CDTF">2025-10-16T01:31:12Z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13410BB8F41D47CB95BEC3B2BA29842C_13</vt:lpwstr>
  </property>
  <property fmtid="{D5CDD505-2E9C-101B-9397-08002B2CF9AE}" pid="4" name="KSOTemplateDocerSaveRecord">
    <vt:lpwstr>eyJoZGlkIjoiM2YwNGVhYjUzYjE1MDMxZTliMjdmMzIxZjcyMTA2Y2EiLCJ1c2VySWQiOiIzOTIzMDE1MzUifQ==</vt:lpwstr>
  </property>
</Properties>
</file>