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0" w:firstLineChars="100"/>
        <w:jc w:val="center"/>
        <w:rPr>
          <w:rFonts w:hint="eastAsia" w:ascii="方正小标宋简体" w:eastAsia="方正小标宋简体" w:cs="仿宋_GB2312"/>
          <w:kern w:val="0"/>
          <w:sz w:val="44"/>
          <w:szCs w:val="44"/>
          <w:lang w:val="en-US" w:eastAsia="zh-CN"/>
        </w:rPr>
      </w:pPr>
      <w:r>
        <w:rPr>
          <w:rFonts w:hint="eastAsia" w:ascii="方正小标宋简体" w:eastAsia="方正小标宋简体" w:cs="仿宋_GB2312"/>
          <w:kern w:val="0"/>
          <w:sz w:val="44"/>
          <w:szCs w:val="44"/>
          <w:lang w:val="en-US" w:eastAsia="zh-CN"/>
        </w:rPr>
        <w:t>上海中航航空食品有限公司</w:t>
      </w:r>
    </w:p>
    <w:p>
      <w:pPr>
        <w:jc w:val="center"/>
        <w:rPr>
          <w:rFonts w:hint="eastAsia" w:ascii="方正小标宋简体" w:eastAsia="方正小标宋简体" w:cs="仿宋_GB2312"/>
          <w:kern w:val="0"/>
          <w:sz w:val="44"/>
          <w:szCs w:val="44"/>
          <w:lang w:val="en-US" w:eastAsia="zh-CN"/>
        </w:rPr>
      </w:pPr>
      <w:r>
        <w:rPr>
          <w:rFonts w:hint="eastAsia" w:ascii="方正小标宋简体" w:eastAsia="方正小标宋简体" w:cs="仿宋_GB2312"/>
          <w:kern w:val="0"/>
          <w:sz w:val="44"/>
          <w:szCs w:val="44"/>
          <w:lang w:val="en-US" w:eastAsia="zh-CN"/>
        </w:rPr>
        <w:t>浦东厂区新能源配餐车车用充电桩</w:t>
      </w:r>
    </w:p>
    <w:p>
      <w:pPr>
        <w:jc w:val="center"/>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方正小标宋简体" w:eastAsia="方正小标宋简体" w:cs="仿宋_GB2312"/>
          <w:kern w:val="0"/>
          <w:sz w:val="44"/>
          <w:szCs w:val="44"/>
          <w:lang w:val="en-US" w:eastAsia="zh-CN"/>
        </w:rPr>
        <w:t>采购项目采购需求</w:t>
      </w:r>
    </w:p>
    <w:p>
      <w:pPr>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p>
    <w:p>
      <w:pPr>
        <w:ind w:firstLine="640" w:firstLineChars="200"/>
        <w:rPr>
          <w:rFonts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根据中翼航空投资有限公司标准采购管理规程和</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上海中航航空食品</w:t>
      </w:r>
      <w:r>
        <w:rPr>
          <w:rFonts w:hint="eastAsia" w:ascii="仿宋_GB2312" w:hAnsi="微软雅黑" w:eastAsia="仿宋_GB2312" w:cs="微软雅黑"/>
          <w:color w:val="000000" w:themeColor="text1"/>
          <w:kern w:val="0"/>
          <w:sz w:val="32"/>
          <w:szCs w:val="32"/>
          <w14:textFill>
            <w14:solidFill>
              <w14:schemeClr w14:val="tx1"/>
            </w14:solidFill>
          </w14:textFill>
        </w:rPr>
        <w:t>有限公司采购管理</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规范</w:t>
      </w:r>
      <w:r>
        <w:rPr>
          <w:rFonts w:hint="eastAsia" w:ascii="仿宋_GB2312" w:hAnsi="微软雅黑" w:eastAsia="仿宋_GB2312" w:cs="微软雅黑"/>
          <w:color w:val="000000" w:themeColor="text1"/>
          <w:kern w:val="0"/>
          <w:sz w:val="32"/>
          <w:szCs w:val="32"/>
          <w14:textFill>
            <w14:solidFill>
              <w14:schemeClr w14:val="tx1"/>
            </w14:solidFill>
          </w14:textFill>
        </w:rPr>
        <w:t>，该项目已具备采购条件。采购申请具体如下：</w:t>
      </w:r>
    </w:p>
    <w:p>
      <w:pPr>
        <w:pStyle w:val="8"/>
        <w:numPr>
          <w:ilvl w:val="0"/>
          <w:numId w:val="0"/>
        </w:numPr>
        <w:ind w:leftChars="0" w:firstLine="640" w:firstLineChars="200"/>
        <w:rPr>
          <w:rFonts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一、</w:t>
      </w:r>
      <w:r>
        <w:rPr>
          <w:rFonts w:hint="eastAsia" w:ascii="黑体" w:hAnsi="黑体" w:eastAsia="黑体" w:cs="微软雅黑"/>
          <w:color w:val="000000" w:themeColor="text1"/>
          <w:kern w:val="0"/>
          <w:sz w:val="32"/>
          <w:szCs w:val="32"/>
          <w14:textFill>
            <w14:solidFill>
              <w14:schemeClr w14:val="tx1"/>
            </w14:solidFill>
          </w14:textFill>
        </w:rPr>
        <w:t>项目概况</w:t>
      </w:r>
    </w:p>
    <w:p>
      <w:pPr>
        <w:spacing w:line="336" w:lineRule="auto"/>
        <w:ind w:firstLine="640" w:firstLineChars="20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1.项目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背景</w:t>
      </w:r>
      <w:r>
        <w:rPr>
          <w:rFonts w:hint="eastAsia" w:ascii="仿宋_GB2312" w:hAnsi="微软雅黑" w:eastAsia="仿宋_GB2312" w:cs="微软雅黑"/>
          <w:color w:val="000000" w:themeColor="text1"/>
          <w:kern w:val="0"/>
          <w:sz w:val="32"/>
          <w:szCs w:val="32"/>
          <w14:textFill>
            <w14:solidFill>
              <w14:schemeClr w14:val="tx1"/>
            </w14:solidFill>
          </w14:textFill>
        </w:rPr>
        <w:t>：</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为满足</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新能源配餐车</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的充电需求，浦东厂区采购</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新能源配餐车直流充电桩4台（240KW），除设备的采购还需包含供电线路、低压配电柜、电桩等电力施工。</w:t>
      </w:r>
    </w:p>
    <w:p>
      <w:pPr>
        <w:spacing w:line="336"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2.项目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名称</w:t>
      </w:r>
      <w:r>
        <w:rPr>
          <w:rFonts w:hint="eastAsia" w:ascii="仿宋_GB2312" w:hAnsi="微软雅黑" w:eastAsia="仿宋_GB2312" w:cs="微软雅黑"/>
          <w:color w:val="000000" w:themeColor="text1"/>
          <w:kern w:val="0"/>
          <w:sz w:val="32"/>
          <w:szCs w:val="32"/>
          <w14:textFill>
            <w14:solidFill>
              <w14:schemeClr w14:val="tx1"/>
            </w14:solidFill>
          </w14:textFill>
        </w:rPr>
        <w:t>：</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上海中航航空食品</w:t>
      </w:r>
      <w:r>
        <w:rPr>
          <w:rFonts w:hint="eastAsia" w:ascii="仿宋_GB2312" w:hAnsi="微软雅黑" w:eastAsia="仿宋_GB2312" w:cs="微软雅黑"/>
          <w:color w:val="000000" w:themeColor="text1"/>
          <w:kern w:val="0"/>
          <w:sz w:val="32"/>
          <w:szCs w:val="32"/>
          <w14:textFill>
            <w14:solidFill>
              <w14:schemeClr w14:val="tx1"/>
            </w14:solidFill>
          </w14:textFill>
        </w:rPr>
        <w:t>有限公司</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浦东厂区</w:t>
      </w:r>
      <w:r>
        <w:rPr>
          <w:rFonts w:hint="eastAsia" w:ascii="仿宋_GB2312" w:hAnsi="微软雅黑" w:eastAsia="仿宋_GB2312" w:cs="微软雅黑"/>
          <w:color w:val="000000" w:themeColor="text1"/>
          <w:kern w:val="0"/>
          <w:sz w:val="32"/>
          <w:szCs w:val="32"/>
          <w14:textFill>
            <w14:solidFill>
              <w14:schemeClr w14:val="tx1"/>
            </w14:solidFill>
          </w14:textFill>
        </w:rPr>
        <w:t>新能源配餐车车用充电桩采购项目</w:t>
      </w:r>
    </w:p>
    <w:p>
      <w:pPr>
        <w:spacing w:line="336" w:lineRule="auto"/>
        <w:ind w:firstLine="640" w:firstLineChars="200"/>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3</w:t>
      </w:r>
      <w:r>
        <w:rPr>
          <w:rFonts w:hint="eastAsia" w:ascii="仿宋_GB2312" w:hAnsi="微软雅黑" w:eastAsia="仿宋_GB2312" w:cs="微软雅黑"/>
          <w:color w:val="000000" w:themeColor="text1"/>
          <w:kern w:val="0"/>
          <w:sz w:val="32"/>
          <w:szCs w:val="32"/>
          <w14:textFill>
            <w14:solidFill>
              <w14:schemeClr w14:val="tx1"/>
            </w14:solidFill>
          </w14:textFill>
        </w:rPr>
        <w:t>.合同期限：</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一次性采购项目（质保期2年）</w:t>
      </w:r>
    </w:p>
    <w:p>
      <w:pPr>
        <w:spacing w:line="336" w:lineRule="auto"/>
        <w:ind w:firstLine="640" w:firstLineChars="200"/>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4</w:t>
      </w:r>
      <w:r>
        <w:rPr>
          <w:rFonts w:hint="eastAsia" w:ascii="仿宋_GB2312" w:hAnsi="微软雅黑" w:eastAsia="仿宋_GB2312" w:cs="微软雅黑"/>
          <w:color w:val="000000" w:themeColor="text1"/>
          <w:kern w:val="0"/>
          <w:sz w:val="32"/>
          <w:szCs w:val="32"/>
          <w14:textFill>
            <w14:solidFill>
              <w14:schemeClr w14:val="tx1"/>
            </w14:solidFill>
          </w14:textFill>
        </w:rPr>
        <w:t>.交付期限：</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60-75个自然日</w:t>
      </w:r>
    </w:p>
    <w:p>
      <w:pPr>
        <w:numPr>
          <w:ilvl w:val="0"/>
          <w:numId w:val="0"/>
        </w:numPr>
        <w:ind w:firstLine="640" w:firstLineChars="200"/>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5</w:t>
      </w:r>
      <w:r>
        <w:rPr>
          <w:rFonts w:hint="eastAsia" w:ascii="仿宋_GB2312" w:hAnsi="微软雅黑" w:eastAsia="仿宋_GB2312" w:cs="微软雅黑"/>
          <w:color w:val="000000" w:themeColor="text1"/>
          <w:kern w:val="0"/>
          <w:sz w:val="32"/>
          <w:szCs w:val="32"/>
          <w14:textFill>
            <w14:solidFill>
              <w14:schemeClr w14:val="tx1"/>
            </w14:solidFill>
          </w14:textFill>
        </w:rPr>
        <w:t>.付款方式：</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合同签订后预付合同总价的30%，设备安装和电力施工完成后初步验收完成，在收到增值税专用发票后一个月内支付合同总价的30%。试用期三个月并最终验收合格在收到增值税专用发票后一个月内支付合同总价的35%，待质保期到期后支付剩余的5%。</w:t>
      </w:r>
    </w:p>
    <w:p>
      <w:pPr>
        <w:numPr>
          <w:ilvl w:val="0"/>
          <w:numId w:val="0"/>
        </w:numPr>
        <w:ind w:firstLine="640" w:firstLineChars="200"/>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6.设备和电力施工质保期在最终验收后24个月。</w:t>
      </w:r>
    </w:p>
    <w:p>
      <w:pPr>
        <w:spacing w:line="336"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7</w:t>
      </w:r>
      <w:r>
        <w:rPr>
          <w:rFonts w:hint="eastAsia" w:ascii="仿宋_GB2312" w:hAnsi="微软雅黑" w:eastAsia="仿宋_GB2312" w:cs="微软雅黑"/>
          <w:color w:val="000000" w:themeColor="text1"/>
          <w:kern w:val="0"/>
          <w:sz w:val="32"/>
          <w:szCs w:val="32"/>
          <w14:textFill>
            <w14:solidFill>
              <w14:schemeClr w14:val="tx1"/>
            </w14:solidFill>
          </w14:textFill>
        </w:rPr>
        <w:t>.项目地点：</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浦东厂区</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上海浦东新区</w:t>
      </w:r>
      <w:r>
        <w:rPr>
          <w:rFonts w:hint="eastAsia" w:ascii="仿宋_GB2312" w:hAnsi="微软雅黑" w:eastAsia="仿宋_GB2312" w:cs="微软雅黑"/>
          <w:color w:val="000000" w:themeColor="text1"/>
          <w:kern w:val="0"/>
          <w:sz w:val="32"/>
          <w:szCs w:val="32"/>
          <w14:textFill>
            <w14:solidFill>
              <w14:schemeClr w14:val="tx1"/>
            </w14:solidFill>
          </w14:textFill>
        </w:rPr>
        <w:t>领航路100号</w:t>
      </w:r>
    </w:p>
    <w:p>
      <w:pPr>
        <w:numPr>
          <w:ilvl w:val="0"/>
          <w:numId w:val="0"/>
        </w:numPr>
        <w:spacing w:beforeLines="0" w:afterLines="0" w:line="360" w:lineRule="auto"/>
        <w:ind w:firstLine="640" w:firstLineChars="200"/>
        <w:jc w:val="left"/>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8</w:t>
      </w:r>
      <w:bookmarkStart w:id="0" w:name="_GoBack"/>
      <w:bookmarkEnd w:id="0"/>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.充电装置执行标准：</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GB/T 18487.1-2015 电动汽车传导充电系统第1 部分：通用要求</w:t>
      </w:r>
      <w:r>
        <w:rPr>
          <w:rFonts w:hint="eastAsia" w:ascii="仿宋_GB2312" w:hAnsi="仿宋_GB2312" w:eastAsia="仿宋_GB2312" w:cs="仿宋_GB2312"/>
          <w:sz w:val="32"/>
          <w:szCs w:val="32"/>
          <w:lang w:eastAsia="zh-CN"/>
        </w:rPr>
        <w:t>；</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GB/T 20234.2-2015 电动汽车传导充电用连接装置第1 部分：通用</w:t>
      </w:r>
      <w:r>
        <w:rPr>
          <w:rFonts w:hint="eastAsia" w:ascii="仿宋_GB2312" w:hAnsi="仿宋_GB2312" w:eastAsia="仿宋_GB2312" w:cs="仿宋_GB2312"/>
          <w:sz w:val="32"/>
          <w:szCs w:val="32"/>
          <w:lang w:val="en-US" w:eastAsia="zh-CN"/>
        </w:rPr>
        <w:t>要求；</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NB/T33008.1-2013 电动汽车充电设备检验试验规范第1 部分：非车载充电机</w:t>
      </w:r>
      <w:r>
        <w:rPr>
          <w:rFonts w:hint="eastAsia" w:ascii="仿宋_GB2312" w:hAnsi="仿宋_GB2312" w:eastAsia="仿宋_GB2312" w:cs="仿宋_GB2312"/>
          <w:sz w:val="32"/>
          <w:szCs w:val="32"/>
          <w:lang w:eastAsia="zh-CN"/>
        </w:rPr>
        <w:t>；</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GB/T 27930-2015 电动汽车传导充电用连接装置第3 部分：直流充电接口</w:t>
      </w:r>
      <w:r>
        <w:rPr>
          <w:rFonts w:hint="eastAsia" w:ascii="仿宋_GB2312" w:hAnsi="仿宋_GB2312" w:eastAsia="仿宋_GB2312" w:cs="仿宋_GB2312"/>
          <w:sz w:val="32"/>
          <w:szCs w:val="32"/>
          <w:lang w:eastAsia="zh-CN"/>
        </w:rPr>
        <w:t>；</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GB/T 19596-2004 电动汽车非车载传导式充电机与电池管理系统之间的通信协议</w:t>
      </w:r>
      <w:r>
        <w:rPr>
          <w:rFonts w:hint="eastAsia" w:ascii="仿宋_GB2312" w:hAnsi="仿宋_GB2312" w:eastAsia="仿宋_GB2312" w:cs="仿宋_GB2312"/>
          <w:sz w:val="32"/>
          <w:szCs w:val="32"/>
          <w:lang w:eastAsia="zh-CN"/>
        </w:rPr>
        <w:t>；</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GB/T 17618 电动汽车术语</w:t>
      </w:r>
      <w:r>
        <w:rPr>
          <w:rFonts w:hint="eastAsia" w:ascii="仿宋_GB2312" w:hAnsi="仿宋_GB2312" w:eastAsia="仿宋_GB2312" w:cs="仿宋_GB2312"/>
          <w:sz w:val="32"/>
          <w:szCs w:val="32"/>
          <w:lang w:eastAsia="zh-CN"/>
        </w:rPr>
        <w:t>；</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GB 9254-2008 信息技术设备抗扰度限值和测量方法</w:t>
      </w:r>
      <w:r>
        <w:rPr>
          <w:rFonts w:hint="eastAsia" w:ascii="仿宋_GB2312" w:hAnsi="仿宋_GB2312" w:eastAsia="仿宋_GB2312" w:cs="仿宋_GB2312"/>
          <w:sz w:val="32"/>
          <w:szCs w:val="32"/>
          <w:lang w:eastAsia="zh-CN"/>
        </w:rPr>
        <w:t>；</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GB 4208-2008 信息技术设备的无线电骚扰限值和测量方法</w:t>
      </w:r>
      <w:r>
        <w:rPr>
          <w:rFonts w:hint="eastAsia" w:ascii="仿宋_GB2312" w:hAnsi="仿宋_GB2312" w:eastAsia="仿宋_GB2312" w:cs="仿宋_GB2312"/>
          <w:sz w:val="32"/>
          <w:szCs w:val="32"/>
          <w:lang w:eastAsia="zh-CN"/>
        </w:rPr>
        <w:t>；</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DL/T 645-2007 外壳防护等级（IP 代码）</w:t>
      </w:r>
      <w:r>
        <w:rPr>
          <w:rFonts w:hint="eastAsia" w:ascii="仿宋_GB2312" w:hAnsi="仿宋_GB2312" w:eastAsia="仿宋_GB2312" w:cs="仿宋_GB2312"/>
          <w:sz w:val="32"/>
          <w:szCs w:val="32"/>
          <w:lang w:eastAsia="zh-CN"/>
        </w:rPr>
        <w:t>；</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GB9286-1998 多功能电能表通信协议</w:t>
      </w:r>
      <w:r>
        <w:rPr>
          <w:rFonts w:hint="eastAsia" w:ascii="仿宋_GB2312" w:hAnsi="仿宋_GB2312" w:eastAsia="仿宋_GB2312" w:cs="仿宋_GB2312"/>
          <w:sz w:val="32"/>
          <w:szCs w:val="32"/>
          <w:lang w:eastAsia="zh-CN"/>
        </w:rPr>
        <w:t>；</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GB6587.4-1986 色漆和清漆漆膜的划格试验</w:t>
      </w:r>
      <w:r>
        <w:rPr>
          <w:rFonts w:hint="eastAsia" w:ascii="仿宋_GB2312" w:hAnsi="仿宋_GB2312" w:eastAsia="仿宋_GB2312" w:cs="仿宋_GB2312"/>
          <w:sz w:val="32"/>
          <w:szCs w:val="32"/>
          <w:lang w:eastAsia="zh-CN"/>
        </w:rPr>
        <w:t>；</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GB 6587.5-1986 电子测量仪器振动试验</w:t>
      </w:r>
      <w:r>
        <w:rPr>
          <w:rFonts w:hint="eastAsia" w:ascii="仿宋_GB2312" w:hAnsi="仿宋_GB2312" w:eastAsia="仿宋_GB2312" w:cs="仿宋_GB2312"/>
          <w:sz w:val="32"/>
          <w:szCs w:val="32"/>
          <w:lang w:eastAsia="zh-CN"/>
        </w:rPr>
        <w:t>；</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GB/T 13384-2008 电子测量仪器冲击试验</w:t>
      </w:r>
      <w:r>
        <w:rPr>
          <w:rFonts w:hint="eastAsia" w:ascii="仿宋_GB2312" w:hAnsi="仿宋_GB2312" w:eastAsia="仿宋_GB2312" w:cs="仿宋_GB2312"/>
          <w:sz w:val="32"/>
          <w:szCs w:val="32"/>
          <w:lang w:eastAsia="zh-CN"/>
        </w:rPr>
        <w:t>；</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GB/T 17626.2-2006 机电产品包装通用技术条件</w:t>
      </w:r>
      <w:r>
        <w:rPr>
          <w:rFonts w:hint="eastAsia" w:ascii="仿宋_GB2312" w:hAnsi="仿宋_GB2312" w:eastAsia="仿宋_GB2312" w:cs="仿宋_GB2312"/>
          <w:sz w:val="32"/>
          <w:szCs w:val="32"/>
          <w:lang w:eastAsia="zh-CN"/>
        </w:rPr>
        <w:t>；</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GB/T 17626.3-2006 电磁兼容试验和测量技术静电放电抗扰度试验</w:t>
      </w:r>
      <w:r>
        <w:rPr>
          <w:rFonts w:hint="eastAsia" w:ascii="仿宋_GB2312" w:hAnsi="仿宋_GB2312" w:eastAsia="仿宋_GB2312" w:cs="仿宋_GB2312"/>
          <w:sz w:val="32"/>
          <w:szCs w:val="32"/>
          <w:lang w:eastAsia="zh-CN"/>
        </w:rPr>
        <w:t>；</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GB/T 17626.4-2008 电磁兼容试验和测量技术射频电磁场辐射抗扰度试验</w:t>
      </w:r>
      <w:r>
        <w:rPr>
          <w:rFonts w:hint="eastAsia" w:ascii="仿宋_GB2312" w:hAnsi="仿宋_GB2312" w:eastAsia="仿宋_GB2312" w:cs="仿宋_GB2312"/>
          <w:sz w:val="32"/>
          <w:szCs w:val="32"/>
          <w:lang w:eastAsia="zh-CN"/>
        </w:rPr>
        <w:t>；</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GB/T 17626.5-2008 电磁兼容试验和测量技术电快速瞬变脉冲群抗扰度试验</w:t>
      </w:r>
      <w:r>
        <w:rPr>
          <w:rFonts w:hint="eastAsia" w:ascii="仿宋_GB2312" w:hAnsi="仿宋_GB2312" w:eastAsia="仿宋_GB2312" w:cs="仿宋_GB2312"/>
          <w:sz w:val="32"/>
          <w:szCs w:val="32"/>
          <w:lang w:eastAsia="zh-CN"/>
        </w:rPr>
        <w:t>；</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GB/T 17626.6-2008 电磁兼容试验和测量技术浪涌（冲击）抗扰度</w:t>
      </w:r>
      <w:r>
        <w:rPr>
          <w:rFonts w:hint="eastAsia" w:ascii="仿宋_GB2312" w:hAnsi="仿宋_GB2312" w:eastAsia="仿宋_GB2312" w:cs="仿宋_GB2312"/>
          <w:sz w:val="32"/>
          <w:szCs w:val="32"/>
          <w:lang w:val="en-US" w:eastAsia="zh-CN"/>
        </w:rPr>
        <w:t>试验</w:t>
      </w:r>
      <w:r>
        <w:rPr>
          <w:rFonts w:hint="eastAsia" w:ascii="仿宋_GB2312" w:hAnsi="仿宋_GB2312" w:eastAsia="仿宋_GB2312" w:cs="仿宋_GB2312"/>
          <w:sz w:val="32"/>
          <w:szCs w:val="32"/>
          <w:lang w:eastAsia="zh-CN"/>
        </w:rPr>
        <w:t>；</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GB/T 20234.2-2015 电磁兼容试验和测量技术射频场感应的传导骚扰抗扰度</w:t>
      </w:r>
      <w:r>
        <w:rPr>
          <w:rFonts w:hint="eastAsia" w:ascii="仿宋_GB2312" w:hAnsi="仿宋_GB2312" w:eastAsia="仿宋_GB2312" w:cs="仿宋_GB2312"/>
          <w:sz w:val="32"/>
          <w:szCs w:val="32"/>
          <w:lang w:eastAsia="zh-CN"/>
        </w:rPr>
        <w:t>。</w:t>
      </w:r>
    </w:p>
    <w:p>
      <w:pPr>
        <w:numPr>
          <w:ilvl w:val="0"/>
          <w:numId w:val="0"/>
        </w:numPr>
        <w:spacing w:beforeLines="0" w:afterLines="0" w:line="360" w:lineRule="auto"/>
        <w:ind w:firstLine="640" w:firstLineChars="200"/>
        <w:jc w:val="left"/>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10.电力施工</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执行标准：</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333333"/>
          <w:spacing w:val="0"/>
          <w:sz w:val="32"/>
          <w:szCs w:val="32"/>
          <w:shd w:val="clear" w:fill="FFFFFF"/>
        </w:rPr>
        <w:t>《中华人民共和国国家标准:电气装置安装工程施工及验收规范(GB50254-96、GB50255-96、GB50256-96、GB50257-96)》</w:t>
      </w:r>
    </w:p>
    <w:p>
      <w:pPr>
        <w:pStyle w:val="8"/>
        <w:numPr>
          <w:ilvl w:val="0"/>
          <w:numId w:val="0"/>
        </w:numPr>
        <w:ind w:leftChars="0" w:firstLine="640" w:firstLineChars="200"/>
        <w:rPr>
          <w:rFonts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二、</w:t>
      </w:r>
      <w:r>
        <w:rPr>
          <w:rFonts w:hint="eastAsia" w:ascii="黑体" w:hAnsi="黑体" w:eastAsia="黑体" w:cs="微软雅黑"/>
          <w:color w:val="000000" w:themeColor="text1"/>
          <w:kern w:val="0"/>
          <w:sz w:val="32"/>
          <w:szCs w:val="32"/>
          <w14:textFill>
            <w14:solidFill>
              <w14:schemeClr w14:val="tx1"/>
            </w14:solidFill>
          </w14:textFill>
        </w:rPr>
        <w:t>采购计划批复情况</w:t>
      </w:r>
    </w:p>
    <w:p>
      <w:pPr>
        <w:pStyle w:val="8"/>
        <w:numPr>
          <w:ilvl w:val="0"/>
          <w:numId w:val="0"/>
        </w:numPr>
        <w:ind w:leftChars="0" w:firstLine="640" w:firstLineChars="200"/>
        <w:rPr>
          <w:rFonts w:ascii="楷体_GB2312" w:hAnsi="微软雅黑" w:eastAsia="楷体_GB2312" w:cs="微软雅黑"/>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本项目已取得批复。</w:t>
      </w:r>
    </w:p>
    <w:p>
      <w:pPr>
        <w:pStyle w:val="8"/>
        <w:numPr>
          <w:ilvl w:val="0"/>
          <w:numId w:val="0"/>
        </w:numPr>
        <w:ind w:leftChars="0" w:firstLine="640" w:firstLineChars="200"/>
        <w:rPr>
          <w:rFonts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三、</w:t>
      </w:r>
      <w:r>
        <w:rPr>
          <w:rFonts w:hint="eastAsia" w:ascii="黑体" w:hAnsi="黑体" w:eastAsia="黑体" w:cs="微软雅黑"/>
          <w:color w:val="000000" w:themeColor="text1"/>
          <w:kern w:val="0"/>
          <w:sz w:val="32"/>
          <w:szCs w:val="32"/>
          <w14:textFill>
            <w14:solidFill>
              <w14:schemeClr w14:val="tx1"/>
            </w14:solidFill>
          </w14:textFill>
        </w:rPr>
        <w:t>采购需求</w:t>
      </w:r>
    </w:p>
    <w:tbl>
      <w:tblPr>
        <w:tblStyle w:val="5"/>
        <w:tblW w:w="0" w:type="auto"/>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6"/>
        <w:gridCol w:w="3216"/>
        <w:gridCol w:w="1180"/>
        <w:gridCol w:w="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物资名称</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计量单位</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快充充电桩</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240kW、双枪、直流、一体式</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套</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w:t>
            </w:r>
          </w:p>
        </w:tc>
      </w:tr>
    </w:tbl>
    <w:p>
      <w:pPr>
        <w:pStyle w:val="8"/>
        <w:numPr>
          <w:ilvl w:val="0"/>
          <w:numId w:val="0"/>
        </w:numP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pPr>
    </w:p>
    <w:p>
      <w:pPr>
        <w:pStyle w:val="8"/>
        <w:numPr>
          <w:ilvl w:val="0"/>
          <w:numId w:val="0"/>
        </w:numP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240KW一体式直流</w:t>
      </w: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充电桩技术参数</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778"/>
        <w:gridCol w:w="2778"/>
        <w:gridCol w:w="2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bCs/>
                <w:i w:val="0"/>
                <w:color w:val="000000"/>
                <w:sz w:val="24"/>
                <w:szCs w:val="24"/>
                <w:u w:val="none"/>
                <w:lang w:val="en-US"/>
              </w:rPr>
            </w:pPr>
            <w:r>
              <w:rPr>
                <w:rFonts w:hint="eastAsia" w:ascii="仿宋_GB2312" w:hAnsi="仿宋_GB2312" w:eastAsia="仿宋_GB2312" w:cs="仿宋_GB2312"/>
                <w:b/>
                <w:bCs/>
                <w:i w:val="0"/>
                <w:color w:val="000000"/>
                <w:kern w:val="0"/>
                <w:sz w:val="24"/>
                <w:szCs w:val="24"/>
                <w:u w:val="none"/>
                <w:lang w:val="en-US" w:eastAsia="zh-CN" w:bidi="ar"/>
              </w:rPr>
              <w:t>技术指标</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参数</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66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环境条件</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环境温度：-40℃～65℃</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-25℃~+50℃满载运行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海拔高度：≤2000m</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66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电源条件</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输入电压：AC380V±15％</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输入频率：50/60Hz</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2" w:hRule="atLeast"/>
        </w:trPr>
        <w:tc>
          <w:tcPr>
            <w:tcW w:w="166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额定功率和输出电流、电压范围</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额定输出功率：240kW</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输出电压范围：DC 50V～1000V，可根据BMS自动调压</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输出电流范围：0 ~ 250A</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66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充电终端</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每个终端需具备≥7寸LCD触摸屏</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联网模式：刷卡、APP扫码、微信小程序、支付宝小程序</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此联网模式不启用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本地模式：刷卡、即插即充、密码</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 xml:space="preserve"> 注：星号条款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充电终端可配置为双枪</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highlight w:val="yellow"/>
                <w:u w:val="none"/>
                <w:lang w:val="en-US" w:eastAsia="zh-CN" w:bidi="ar"/>
              </w:rPr>
              <w:t>风冷充电终端枪线长度≥7米</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4"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720" w:firstLineChars="30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输入功率因数</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≥0.99</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辅助电源电压</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12/24V</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峰值效率</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≥96%</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稳压精度</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≤±0.5%</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稳流精度</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谐波电流限制THD</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通信接口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4G/以太网</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噪声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≤65dB</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基本保护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充电枪温度检测、过压/欠压保护、过载保护、短路保护、过温保护、防雷保护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仿宋_GB2312" w:hAnsi="仿宋_GB2312" w:eastAsia="仿宋_GB2312" w:cs="仿宋_GB2312"/>
                <w:i w:val="0"/>
                <w:color w:val="000000"/>
                <w:sz w:val="24"/>
                <w:szCs w:val="24"/>
                <w:u w:val="none"/>
              </w:rPr>
            </w:pPr>
          </w:p>
        </w:tc>
      </w:tr>
    </w:tbl>
    <w:p>
      <w:pPr>
        <w:keepNext/>
        <w:keepLines/>
        <w:widowControl w:val="0"/>
        <w:numPr>
          <w:ilvl w:val="0"/>
          <w:numId w:val="0"/>
        </w:numPr>
        <w:tabs>
          <w:tab w:val="left" w:pos="420"/>
        </w:tabs>
        <w:bidi w:val="0"/>
        <w:spacing w:beforeLines="0" w:beforeAutospacing="0" w:afterLines="0" w:afterAutospacing="0" w:line="360" w:lineRule="auto"/>
        <w:ind w:firstLine="640" w:firstLineChars="200"/>
        <w:jc w:val="both"/>
        <w:outlineLvl w:val="3"/>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1.构成要求</w:t>
      </w:r>
    </w:p>
    <w:p>
      <w:pPr>
        <w:keepNext w:val="0"/>
        <w:keepLines w:val="0"/>
        <w:widowControl/>
        <w:suppressLineNumbers w:val="0"/>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充电机采用</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rPr>
        <w:t>体式结构型式，</w:t>
      </w:r>
      <w:r>
        <w:rPr>
          <w:rFonts w:hint="eastAsia" w:ascii="仿宋_GB2312" w:hAnsi="仿宋_GB2312" w:eastAsia="仿宋_GB2312" w:cs="仿宋_GB2312"/>
          <w:color w:val="000000"/>
          <w:sz w:val="32"/>
          <w:szCs w:val="32"/>
          <w:lang w:val="en-US" w:eastAsia="zh-CN"/>
        </w:rPr>
        <w:t>采用超强非金属材料外壳，让产品在户外能够使用更可靠。核心部件采用全灌胶工艺，在恶劣环境下产品依旧可以可靠运行</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lang w:val="en-US" w:eastAsia="zh-CN" w:bidi="ar-SA"/>
        </w:rPr>
        <w:t>2.系统通讯结构，</w:t>
      </w:r>
      <w:r>
        <w:rPr>
          <w:rFonts w:hint="eastAsia" w:ascii="仿宋_GB2312" w:hAnsi="仿宋_GB2312" w:eastAsia="仿宋_GB2312" w:cs="仿宋_GB2312"/>
          <w:b w:val="0"/>
          <w:bCs w:val="0"/>
          <w:color w:val="auto"/>
          <w:sz w:val="32"/>
          <w:szCs w:val="32"/>
        </w:rPr>
        <w:t>双枪终端内需要配置2块控制板，1</w:t>
      </w:r>
      <w:r>
        <w:rPr>
          <w:rFonts w:hint="eastAsia" w:ascii="仿宋_GB2312" w:hAnsi="仿宋_GB2312" w:eastAsia="仿宋_GB2312" w:cs="仿宋_GB2312"/>
          <w:b w:val="0"/>
          <w:bCs w:val="0"/>
          <w:color w:val="auto"/>
          <w:sz w:val="32"/>
          <w:szCs w:val="32"/>
          <w:highlight w:val="none"/>
        </w:rPr>
        <w:t>块控制板对应1条充电枪，分2路通道分别和车辆的BMS通讯</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宋体" w:cs="Times New Roman"/>
          <w:color w:val="000000"/>
          <w:lang w:val="en-US" w:eastAsia="zh-CN"/>
        </w:rPr>
      </w:pP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sz w:val="32"/>
          <w:szCs w:val="32"/>
          <w:lang w:val="en-US" w:eastAsia="zh-CN"/>
        </w:rPr>
        <w:t>设备核心元器件品牌需为如下品牌之一</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261" w:type="dxa"/>
            <w:noWrap w:val="0"/>
            <w:vAlign w:val="top"/>
          </w:tcPr>
          <w:p>
            <w:pPr>
              <w:keepNext w:val="0"/>
              <w:keepLines w:val="0"/>
              <w:widowControl/>
              <w:suppressLineNumbers w:val="0"/>
              <w:jc w:val="center"/>
              <w:textAlignment w:val="center"/>
              <w:rPr>
                <w:rFonts w:hint="default"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元器件名称</w:t>
            </w:r>
          </w:p>
        </w:tc>
        <w:tc>
          <w:tcPr>
            <w:tcW w:w="4261" w:type="dxa"/>
            <w:noWrap w:val="0"/>
            <w:vAlign w:val="top"/>
          </w:tcPr>
          <w:p>
            <w:pPr>
              <w:keepNext w:val="0"/>
              <w:keepLines w:val="0"/>
              <w:widowControl/>
              <w:suppressLineNumbers w:val="0"/>
              <w:jc w:val="center"/>
              <w:textAlignment w:val="center"/>
              <w:rPr>
                <w:rFonts w:hint="default"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品牌名称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261" w:type="dxa"/>
            <w:noWrap w:val="0"/>
            <w:vAlign w:val="top"/>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断路器</w:t>
            </w:r>
          </w:p>
        </w:tc>
        <w:tc>
          <w:tcPr>
            <w:tcW w:w="4261" w:type="dxa"/>
            <w:noWrap w:val="0"/>
            <w:vAlign w:val="top"/>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施耐德/良信/正泰</w:t>
            </w:r>
          </w:p>
        </w:tc>
      </w:tr>
    </w:tbl>
    <w:p>
      <w:pPr>
        <w:numPr>
          <w:ilvl w:val="0"/>
          <w:numId w:val="0"/>
        </w:numP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pPr>
    </w:p>
    <w:p>
      <w:pPr>
        <w:numPr>
          <w:ilvl w:val="0"/>
          <w:numId w:val="1"/>
        </w:numPr>
        <w:ind w:firstLine="640" w:firstLineChars="200"/>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电力布线安装（报名供应商集中现场勘查，出具施工方案，方案应包括但不限于：线路走向、电缆数量、铺设方式、配电柜数量等。</w:t>
      </w:r>
      <w:r>
        <w:rPr>
          <w:rFonts w:hint="eastAsia" w:ascii="楷体_GB2312" w:hAnsi="楷体_GB2312" w:eastAsia="楷体_GB2312" w:cs="楷体_GB2312"/>
          <w:color w:val="000000" w:themeColor="text1"/>
          <w:kern w:val="0"/>
          <w:sz w:val="32"/>
          <w:szCs w:val="32"/>
          <w:highlight w:val="none"/>
          <w:lang w:val="en-US" w:eastAsia="zh-CN"/>
          <w14:textFill>
            <w14:solidFill>
              <w14:schemeClr w14:val="tx1"/>
            </w14:solidFill>
          </w14:textFill>
        </w:rPr>
        <w:t>以下需求数据仅用于参考，最终需求数据以供应商现场测量，双方认可为准）。</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92"/>
        <w:gridCol w:w="1245"/>
        <w:gridCol w:w="4845"/>
        <w:gridCol w:w="840"/>
        <w:gridCol w:w="7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名称</w:t>
            </w:r>
          </w:p>
        </w:tc>
        <w:tc>
          <w:tcPr>
            <w:tcW w:w="4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规格型号</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铜芯电缆</w:t>
            </w:r>
          </w:p>
        </w:tc>
        <w:tc>
          <w:tcPr>
            <w:tcW w:w="484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ZCYJV4*240+1*120电缆线</w:t>
            </w:r>
          </w:p>
        </w:tc>
        <w:tc>
          <w:tcPr>
            <w:tcW w:w="84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600 </w:t>
            </w:r>
          </w:p>
        </w:tc>
        <w:tc>
          <w:tcPr>
            <w:tcW w:w="7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电缆敷设</w:t>
            </w:r>
          </w:p>
        </w:tc>
        <w:tc>
          <w:tcPr>
            <w:tcW w:w="484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ZCYJV4*240+1*120电缆线</w:t>
            </w:r>
          </w:p>
        </w:tc>
        <w:tc>
          <w:tcPr>
            <w:tcW w:w="84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600 </w:t>
            </w:r>
          </w:p>
        </w:tc>
        <w:tc>
          <w:tcPr>
            <w:tcW w:w="7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充电桩安装基础</w:t>
            </w:r>
          </w:p>
        </w:tc>
        <w:tc>
          <w:tcPr>
            <w:tcW w:w="4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长1.3m*宽1.0m高0.2m，</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充电桩和配电柜安装</w:t>
            </w:r>
          </w:p>
        </w:tc>
        <w:tc>
          <w:tcPr>
            <w:tcW w:w="4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四台充电桩及充电桩配电柜（两台）安装（长800*高1800*深400mm）</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接地制作</w:t>
            </w:r>
          </w:p>
        </w:tc>
        <w:tc>
          <w:tcPr>
            <w:tcW w:w="4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充电桩垂直接地极制作</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充电桩接地扁钢安装</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w:t>
            </w:r>
          </w:p>
        </w:tc>
        <w:tc>
          <w:tcPr>
            <w:tcW w:w="7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电缆接头制作</w:t>
            </w:r>
          </w:p>
        </w:tc>
        <w:tc>
          <w:tcPr>
            <w:tcW w:w="4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5芯120-240mm2内电缆头（热缩）制作</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7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低压配电系统设备安装</w:t>
            </w:r>
          </w:p>
        </w:tc>
        <w:tc>
          <w:tcPr>
            <w:tcW w:w="4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含：独立电表安装、互感器安装、塑壳断路器配备及安装</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高配间配电柜新增</w:t>
            </w:r>
          </w:p>
        </w:tc>
        <w:tc>
          <w:tcPr>
            <w:tcW w:w="4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含抽屉单元二合一、柜内开关、母排、动触头、操动机构、仪表指示灯及元器件等</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桥架及辅材</w:t>
            </w:r>
          </w:p>
        </w:tc>
        <w:tc>
          <w:tcPr>
            <w:tcW w:w="4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不锈钢制桥架400*100*1.5mm（线槽弯通、通丝吊杆、M10顶爆套件、M10螺母M10不锈钢螺母）</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130</w:t>
            </w:r>
          </w:p>
        </w:tc>
        <w:tc>
          <w:tcPr>
            <w:tcW w:w="7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11</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桥架安装</w:t>
            </w:r>
          </w:p>
        </w:tc>
        <w:tc>
          <w:tcPr>
            <w:tcW w:w="4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c>
          <w:tcPr>
            <w:tcW w:w="7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12</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镀锌钢管</w:t>
            </w:r>
          </w:p>
        </w:tc>
        <w:tc>
          <w:tcPr>
            <w:tcW w:w="4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充电桩热镀锌钢管敷设，DN80mm，厚度2.5mm</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7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13</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管沟开挖</w:t>
            </w:r>
          </w:p>
        </w:tc>
        <w:tc>
          <w:tcPr>
            <w:tcW w:w="4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混凝土、沥青地面开沟回填（宽300*深500）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40</w:t>
            </w:r>
          </w:p>
        </w:tc>
        <w:tc>
          <w:tcPr>
            <w:tcW w:w="7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管沟开挖</w:t>
            </w:r>
          </w:p>
        </w:tc>
        <w:tc>
          <w:tcPr>
            <w:tcW w:w="4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绿化带地面开沟回填（宽300*深500）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w:t>
            </w:r>
          </w:p>
        </w:tc>
        <w:tc>
          <w:tcPr>
            <w:tcW w:w="7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电缆井</w:t>
            </w:r>
          </w:p>
        </w:tc>
        <w:tc>
          <w:tcPr>
            <w:tcW w:w="4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7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right="0" w:firstLine="640" w:firstLineChars="200"/>
        <w:rPr>
          <w:rFonts w:hint="eastAsia" w:ascii="仿宋_GB2312" w:hAnsi="仿宋_GB2312" w:eastAsia="仿宋_GB2312" w:cs="仿宋_GB2312"/>
          <w:b w:val="0"/>
          <w:bCs/>
          <w:i w:val="0"/>
          <w:caps w:val="0"/>
          <w:color w:val="000000"/>
          <w:spacing w:val="0"/>
          <w:sz w:val="32"/>
          <w:szCs w:val="32"/>
          <w:lang w:eastAsia="zh-CN"/>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1.电缆、配电柜等材料必须符合</w:t>
      </w:r>
      <w:r>
        <w:rPr>
          <w:rFonts w:hint="eastAsia" w:ascii="仿宋_GB2312" w:hAnsi="仿宋_GB2312" w:eastAsia="仿宋_GB2312" w:cs="仿宋_GB2312"/>
          <w:b w:val="0"/>
          <w:bCs/>
          <w:i w:val="0"/>
          <w:caps w:val="0"/>
          <w:color w:val="000000"/>
          <w:spacing w:val="0"/>
          <w:sz w:val="32"/>
          <w:szCs w:val="32"/>
        </w:rPr>
        <w:t>GB-5023-2008电缆国家标准</w:t>
      </w:r>
      <w:r>
        <w:rPr>
          <w:rFonts w:hint="eastAsia" w:ascii="仿宋_GB2312" w:hAnsi="仿宋_GB2312" w:eastAsia="仿宋_GB2312" w:cs="仿宋_GB2312"/>
          <w:b w:val="0"/>
          <w:bCs/>
          <w:i w:val="0"/>
          <w:caps w:val="0"/>
          <w:color w:val="000000"/>
          <w:spacing w:val="0"/>
          <w:sz w:val="32"/>
          <w:szCs w:val="32"/>
          <w:lang w:eastAsia="zh-CN"/>
        </w:rPr>
        <w:t>、</w:t>
      </w:r>
      <w:r>
        <w:rPr>
          <w:rFonts w:hint="eastAsia" w:ascii="仿宋_GB2312" w:hAnsi="仿宋_GB2312" w:eastAsia="仿宋_GB2312" w:cs="仿宋_GB2312"/>
          <w:b w:val="0"/>
          <w:bCs/>
          <w:i w:val="0"/>
          <w:caps w:val="0"/>
          <w:color w:val="000000"/>
          <w:spacing w:val="0"/>
          <w:sz w:val="32"/>
          <w:szCs w:val="32"/>
          <w:shd w:val="clear" w:fill="FFFFFF"/>
        </w:rPr>
        <w:t>GB/T 7251.1-2013低压成套开关设备和控制设备</w:t>
      </w:r>
      <w:r>
        <w:rPr>
          <w:rFonts w:hint="eastAsia" w:ascii="仿宋_GB2312" w:hAnsi="仿宋_GB2312" w:eastAsia="仿宋_GB2312" w:cs="仿宋_GB2312"/>
          <w:b w:val="0"/>
          <w:bCs/>
          <w:i w:val="0"/>
          <w:caps w:val="0"/>
          <w:color w:val="000000"/>
          <w:spacing w:val="0"/>
          <w:sz w:val="32"/>
          <w:szCs w:val="32"/>
          <w:shd w:val="clear" w:fill="FFFFFF"/>
          <w:lang w:eastAsia="zh-CN"/>
        </w:rPr>
        <w:t>。</w:t>
      </w:r>
    </w:p>
    <w:p>
      <w:pPr>
        <w:numPr>
          <w:ilvl w:val="0"/>
          <w:numId w:val="0"/>
        </w:numPr>
        <w:ind w:firstLine="640" w:firstLineChars="20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2.电力布线：</w:t>
      </w:r>
      <w:r>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t>电源线的铺装为架式金属桥架安装，从高压配电间的低压室新装</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四个</w:t>
      </w:r>
      <w:r>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t>充电桩专属</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开关</w:t>
      </w:r>
      <w:r>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t>，从</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抽屉开关</w:t>
      </w:r>
      <w:r>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t>引出电源，经配电室</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出墙上屋顶经屋顶</w:t>
      </w:r>
      <w:r>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t>到</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西侧女儿墙</w:t>
      </w:r>
      <w:r>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再经西侧墙面垂直</w:t>
      </w:r>
      <w:r>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t>向下穿至</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地面</w:t>
      </w:r>
      <w:r>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t>，经</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地面</w:t>
      </w:r>
      <w:r>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t>穿出至发货区安装充电桩</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控制箱</w:t>
      </w:r>
      <w:r>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t>处，电源规格需与充电桩容量匹配</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w:t>
      </w:r>
      <w:r>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t>经</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配电间</w:t>
      </w:r>
      <w:r>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t>室穿出至发货区</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桥架因室外线缆桥架需要304不锈钢桥架，包含通丝吊杆等内容。</w:t>
      </w:r>
    </w:p>
    <w:p>
      <w:pPr>
        <w:numPr>
          <w:ilvl w:val="0"/>
          <w:numId w:val="0"/>
        </w:numPr>
        <w:ind w:firstLine="640" w:firstLineChars="200"/>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3、每个充电桩需配备1块独立的能源计量表具（电能表），便于充电桩用能统计。</w:t>
      </w:r>
    </w:p>
    <w:p>
      <w:pPr>
        <w:numPr>
          <w:ilvl w:val="0"/>
          <w:numId w:val="0"/>
        </w:numPr>
        <w:ind w:firstLine="640" w:firstLineChars="200"/>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（四）报价方式：</w:t>
      </w:r>
    </w:p>
    <w:p>
      <w:pPr>
        <w:ind w:firstLine="640" w:firstLineChars="20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1.分项报价（见附件）</w:t>
      </w:r>
    </w:p>
    <w:p>
      <w:pPr>
        <w:ind w:firstLine="640" w:firstLineChars="200"/>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2.项目总价</w:t>
      </w:r>
    </w:p>
    <w:p>
      <w:pPr>
        <w:ind w:firstLine="640" w:firstLineChars="200"/>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（五）验收</w:t>
      </w:r>
    </w:p>
    <w:p>
      <w:pPr>
        <w:ind w:firstLine="640" w:firstLineChars="200"/>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1.初验收：设备到场提供</w:t>
      </w:r>
      <w:r>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t>设备、材料产品合格证、说明书及技术资料、使用操作及维护维修手册等资料。</w:t>
      </w:r>
    </w:p>
    <w:p>
      <w:pPr>
        <w:ind w:firstLine="640" w:firstLineChars="200"/>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t>2.设备布线安装投入使用后，安全试运行3个月后，最终验收。</w:t>
      </w:r>
    </w:p>
    <w:p>
      <w:pPr>
        <w:ind w:firstLine="640" w:firstLineChars="200"/>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（六）项目设备到场及施工要求</w:t>
      </w:r>
    </w:p>
    <w:p>
      <w:pPr>
        <w:ind w:firstLine="640" w:firstLineChars="20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1.负责设备运输、搬运、安装、调试、培训。</w:t>
      </w:r>
    </w:p>
    <w:p>
      <w:pPr>
        <w:ind w:firstLine="640" w:firstLineChars="20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w:t>
      </w:r>
      <w:r>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t>做好施工现场安全防护栏杆、摆放安全警示标志</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w:t>
      </w:r>
    </w:p>
    <w:p>
      <w:pPr>
        <w:ind w:firstLine="640" w:firstLineChars="20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3.施工期间做到安全用电，如有切割、焊接等作业，必须提前申请动火证，在规定时间、规定地点安全作业。</w:t>
      </w:r>
    </w:p>
    <w:p>
      <w:pPr>
        <w:ind w:firstLine="640" w:firstLineChars="20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4.施工现场须有专职负责人，监督施工人员安全作业，严格按照施工方案进行施工，遇实际问题需双方协调解决。</w:t>
      </w:r>
    </w:p>
    <w:p>
      <w:pPr>
        <w:ind w:firstLine="640" w:firstLineChars="20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5.施工现场需保持整洁，做到随时清理，不得影响公司正常运营。</w:t>
      </w:r>
    </w:p>
    <w:p>
      <w:pPr>
        <w:ind w:firstLine="640" w:firstLineChars="20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6.项目施工人员提供专业操作相应证件，如焊接操作证、电工证等。</w:t>
      </w:r>
    </w:p>
    <w:p>
      <w:pPr>
        <w:ind w:firstLine="640" w:firstLineChars="200"/>
        <w:rPr>
          <w:rFonts w:hint="default" w:ascii="仿宋_GB2312" w:hAnsi="微软雅黑" w:eastAsia="仿宋_GB2312" w:cs="微软雅黑"/>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7.本项目金额为闭口包干价，包含所有设备、人工、材料、工具等。</w:t>
      </w:r>
    </w:p>
    <w:p>
      <w:pPr>
        <w:pStyle w:val="8"/>
        <w:numPr>
          <w:ilvl w:val="0"/>
          <w:numId w:val="0"/>
        </w:numPr>
        <w:ind w:firstLine="640" w:firstLineChars="200"/>
        <w:rPr>
          <w:rFonts w:hint="eastAsia" w:ascii="黑体" w:hAnsi="黑体" w:eastAsia="黑体" w:cs="微软雅黑"/>
          <w:color w:val="auto"/>
          <w:kern w:val="0"/>
          <w:sz w:val="32"/>
          <w:szCs w:val="32"/>
          <w:highlight w:val="none"/>
          <w:lang w:val="en-US" w:eastAsia="zh-CN"/>
        </w:rPr>
      </w:pPr>
      <w:r>
        <w:rPr>
          <w:rFonts w:hint="eastAsia" w:ascii="黑体" w:hAnsi="黑体" w:eastAsia="黑体" w:cs="微软雅黑"/>
          <w:color w:val="auto"/>
          <w:kern w:val="0"/>
          <w:sz w:val="32"/>
          <w:szCs w:val="32"/>
          <w:highlight w:val="none"/>
          <w:lang w:val="en-US" w:eastAsia="zh-CN"/>
        </w:rPr>
        <w:t>四、供应商资质</w:t>
      </w:r>
    </w:p>
    <w:p>
      <w:pPr>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营业范围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包含</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电力设施承装、承修，电力、电气设备修理，建筑工程施工等；</w:t>
      </w:r>
    </w:p>
    <w:p>
      <w:pPr>
        <w:ind w:firstLine="640" w:firstLineChars="200"/>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2.承装（修、试）电力工程施工许可证五级及以上资质；</w:t>
      </w:r>
    </w:p>
    <w:p>
      <w:pPr>
        <w:ind w:firstLine="640" w:firstLineChars="200"/>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3.电力施工安全生产许可证；</w:t>
      </w:r>
    </w:p>
    <w:p>
      <w:pP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附件 分项报价单</w:t>
      </w:r>
    </w:p>
    <w:p>
      <w:pPr>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设备报价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316"/>
        <w:gridCol w:w="834"/>
        <w:gridCol w:w="933"/>
        <w:gridCol w:w="1144"/>
        <w:gridCol w:w="1338"/>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736" w:type="dxa"/>
          </w:tcPr>
          <w:p>
            <w:pPr>
              <w:rPr>
                <w:rFonts w:hint="default"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t>名称</w:t>
            </w:r>
          </w:p>
        </w:tc>
        <w:tc>
          <w:tcPr>
            <w:tcW w:w="1316" w:type="dxa"/>
          </w:tcPr>
          <w:p>
            <w:pPr>
              <w:rPr>
                <w:rFonts w:hint="default"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t>规格型号</w:t>
            </w:r>
          </w:p>
        </w:tc>
        <w:tc>
          <w:tcPr>
            <w:tcW w:w="834" w:type="dxa"/>
          </w:tcPr>
          <w:p>
            <w:pPr>
              <w:rPr>
                <w:rFonts w:hint="eastAsia"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t>数量</w:t>
            </w:r>
          </w:p>
        </w:tc>
        <w:tc>
          <w:tcPr>
            <w:tcW w:w="933" w:type="dxa"/>
          </w:tcPr>
          <w:p>
            <w:pPr>
              <w:rPr>
                <w:rFonts w:hint="default"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t>单位</w:t>
            </w:r>
          </w:p>
        </w:tc>
        <w:tc>
          <w:tcPr>
            <w:tcW w:w="1144" w:type="dxa"/>
          </w:tcPr>
          <w:p>
            <w:pPr>
              <w:rPr>
                <w:rFonts w:hint="default"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t>单价</w:t>
            </w:r>
          </w:p>
        </w:tc>
        <w:tc>
          <w:tcPr>
            <w:tcW w:w="1338" w:type="dxa"/>
          </w:tcPr>
          <w:p>
            <w:pPr>
              <w:rPr>
                <w:rFonts w:hint="eastAsia"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t>含税单价</w:t>
            </w:r>
          </w:p>
          <w:p>
            <w:pPr>
              <w:rPr>
                <w:rFonts w:hint="default"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t>（税金 %）</w:t>
            </w:r>
          </w:p>
        </w:tc>
        <w:tc>
          <w:tcPr>
            <w:tcW w:w="1217" w:type="dxa"/>
          </w:tcPr>
          <w:p>
            <w:pPr>
              <w:rPr>
                <w:rFonts w:hint="default"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t>含税总价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tcPr>
          <w:p>
            <w:pPr>
              <w:rPr>
                <w:rFonts w:hint="default"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t>240KW直流一体式充电桩</w:t>
            </w:r>
          </w:p>
        </w:tc>
        <w:tc>
          <w:tcPr>
            <w:tcW w:w="1316" w:type="dxa"/>
          </w:tcPr>
          <w:p>
            <w:pPr>
              <w:rPr>
                <w:rFonts w:hint="default"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p>
        </w:tc>
        <w:tc>
          <w:tcPr>
            <w:tcW w:w="834" w:type="dxa"/>
          </w:tcPr>
          <w:p>
            <w:pPr>
              <w:rPr>
                <w:rFonts w:hint="default"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t>4</w:t>
            </w:r>
          </w:p>
        </w:tc>
        <w:tc>
          <w:tcPr>
            <w:tcW w:w="933" w:type="dxa"/>
          </w:tcPr>
          <w:p>
            <w:pPr>
              <w:rPr>
                <w:rFonts w:hint="default"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t>台</w:t>
            </w:r>
          </w:p>
        </w:tc>
        <w:tc>
          <w:tcPr>
            <w:tcW w:w="1144" w:type="dxa"/>
          </w:tcPr>
          <w:p>
            <w:pPr>
              <w:rPr>
                <w:rFonts w:hint="default"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p>
        </w:tc>
        <w:tc>
          <w:tcPr>
            <w:tcW w:w="1338" w:type="dxa"/>
          </w:tcPr>
          <w:p>
            <w:pPr>
              <w:rPr>
                <w:rFonts w:hint="default"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p>
        </w:tc>
        <w:tc>
          <w:tcPr>
            <w:tcW w:w="1217" w:type="dxa"/>
          </w:tcPr>
          <w:p>
            <w:pPr>
              <w:rPr>
                <w:rFonts w:hint="default"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p>
        </w:tc>
      </w:tr>
    </w:tbl>
    <w:p>
      <w:pP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电力铺设</w:t>
      </w:r>
    </w:p>
    <w:tbl>
      <w:tblPr>
        <w:tblStyle w:val="5"/>
        <w:tblW w:w="83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67"/>
        <w:gridCol w:w="1344"/>
        <w:gridCol w:w="2966"/>
        <w:gridCol w:w="610"/>
        <w:gridCol w:w="510"/>
        <w:gridCol w:w="1020"/>
        <w:gridCol w:w="855"/>
        <w:gridCol w:w="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名称</w:t>
            </w:r>
          </w:p>
        </w:tc>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规格型号</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含税单</w:t>
            </w:r>
          </w:p>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税金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含税总价</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铜芯电缆</w:t>
            </w:r>
          </w:p>
        </w:tc>
        <w:tc>
          <w:tcPr>
            <w:tcW w:w="29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ZCYJV4*240+1*120电缆线</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600 </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米</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电缆敷设</w:t>
            </w:r>
          </w:p>
        </w:tc>
        <w:tc>
          <w:tcPr>
            <w:tcW w:w="29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ZCYJV4*240+1*120电缆线</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600 </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米</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充电桩安装基础</w:t>
            </w:r>
          </w:p>
        </w:tc>
        <w:tc>
          <w:tcPr>
            <w:tcW w:w="29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长1.3m*宽1.0m高0.2m，</w:t>
            </w:r>
          </w:p>
        </w:tc>
        <w:tc>
          <w:tcPr>
            <w:tcW w:w="6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充电桩和配电柜安装</w:t>
            </w:r>
          </w:p>
        </w:tc>
        <w:tc>
          <w:tcPr>
            <w:tcW w:w="29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四台充电桩及充电桩配电柜（两台）安装（长800*高1800*深400mm）</w:t>
            </w:r>
          </w:p>
        </w:tc>
        <w:tc>
          <w:tcPr>
            <w:tcW w:w="6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4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接地制作</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充电桩垂直接地极制作</w:t>
            </w:r>
          </w:p>
        </w:tc>
        <w:tc>
          <w:tcPr>
            <w:tcW w:w="6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充电桩接地扁钢安装</w:t>
            </w:r>
          </w:p>
        </w:tc>
        <w:tc>
          <w:tcPr>
            <w:tcW w:w="6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米</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电缆接头制作</w:t>
            </w:r>
          </w:p>
        </w:tc>
        <w:tc>
          <w:tcPr>
            <w:tcW w:w="29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5芯120-240mm2内电缆头（热缩）制作</w:t>
            </w:r>
          </w:p>
        </w:tc>
        <w:tc>
          <w:tcPr>
            <w:tcW w:w="6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40</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低压配电系统设备安装</w:t>
            </w:r>
          </w:p>
        </w:tc>
        <w:tc>
          <w:tcPr>
            <w:tcW w:w="29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含：独立电表安装、互感器安装、塑壳断路器配备及安装</w:t>
            </w:r>
          </w:p>
        </w:tc>
        <w:tc>
          <w:tcPr>
            <w:tcW w:w="6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高配间配电柜新增</w:t>
            </w:r>
          </w:p>
        </w:tc>
        <w:tc>
          <w:tcPr>
            <w:tcW w:w="29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含抽屉单元二合一、柜内开关、母排、动触头、操动机构、仪表指示灯及元器件等</w:t>
            </w:r>
          </w:p>
        </w:tc>
        <w:tc>
          <w:tcPr>
            <w:tcW w:w="6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3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桥架及辅材</w:t>
            </w:r>
          </w:p>
        </w:tc>
        <w:tc>
          <w:tcPr>
            <w:tcW w:w="29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不锈钢制桥架400*100*1.5mm（线槽弯通、通丝吊杆、M10顶爆套件、M10螺母M10不锈钢螺母）</w:t>
            </w:r>
          </w:p>
        </w:tc>
        <w:tc>
          <w:tcPr>
            <w:tcW w:w="6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130</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米</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3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桥架安装</w:t>
            </w:r>
          </w:p>
        </w:tc>
        <w:tc>
          <w:tcPr>
            <w:tcW w:w="29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160</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米</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3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镀锌钢管</w:t>
            </w:r>
          </w:p>
        </w:tc>
        <w:tc>
          <w:tcPr>
            <w:tcW w:w="29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充电桩热镀锌钢管敷设，DN80mm，厚度2.5mm</w:t>
            </w:r>
          </w:p>
        </w:tc>
        <w:tc>
          <w:tcPr>
            <w:tcW w:w="6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240</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米</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3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管沟开挖</w:t>
            </w:r>
          </w:p>
        </w:tc>
        <w:tc>
          <w:tcPr>
            <w:tcW w:w="29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混凝土、沥青地面开沟回填（宽300*深500）</w:t>
            </w:r>
          </w:p>
        </w:tc>
        <w:tc>
          <w:tcPr>
            <w:tcW w:w="6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40</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米</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3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管沟开挖</w:t>
            </w:r>
          </w:p>
        </w:tc>
        <w:tc>
          <w:tcPr>
            <w:tcW w:w="29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绿化带地面开沟回填（宽300*深500）</w:t>
            </w:r>
          </w:p>
        </w:tc>
        <w:tc>
          <w:tcPr>
            <w:tcW w:w="6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米</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3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电缆井</w:t>
            </w:r>
          </w:p>
        </w:tc>
        <w:tc>
          <w:tcPr>
            <w:tcW w:w="29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米</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19</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人工总费用</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项目施工合计</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pPr>
    </w:p>
    <w:p>
      <w:pPr>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项目总价（设备加电力铺设）</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5"/>
        <w:gridCol w:w="2415"/>
        <w:gridCol w:w="2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5" w:type="dxa"/>
            <w:vAlign w:val="top"/>
          </w:tcPr>
          <w:p>
            <w:pPr>
              <w:rPr>
                <w:rFonts w:hint="default"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t>项目名称</w:t>
            </w:r>
          </w:p>
        </w:tc>
        <w:tc>
          <w:tcPr>
            <w:tcW w:w="2415" w:type="dxa"/>
            <w:vAlign w:val="top"/>
          </w:tcPr>
          <w:p>
            <w:pPr>
              <w:rPr>
                <w:rFonts w:hint="default"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t>不含税总价</w:t>
            </w:r>
          </w:p>
        </w:tc>
        <w:tc>
          <w:tcPr>
            <w:tcW w:w="2685" w:type="dxa"/>
            <w:vAlign w:val="top"/>
          </w:tcPr>
          <w:p>
            <w:pPr>
              <w:rPr>
                <w:rFonts w:hint="default"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t>含税总价（税金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795" w:type="dxa"/>
            <w:vAlign w:val="top"/>
          </w:tcPr>
          <w:p>
            <w:pPr>
              <w:rPr>
                <w:rFonts w:hint="eastAsia"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r>
              <w:rPr>
                <w:rFonts w:hint="eastAsia" w:ascii="仿宋_GB2312" w:hAnsi="微软雅黑" w:eastAsia="仿宋_GB2312" w:cs="微软雅黑"/>
                <w:color w:val="000000" w:themeColor="text1"/>
                <w:kern w:val="0"/>
                <w:sz w:val="24"/>
                <w:szCs w:val="24"/>
                <w:lang w:val="en-US" w:eastAsia="zh-CN"/>
                <w14:textFill>
                  <w14:solidFill>
                    <w14:schemeClr w14:val="tx1"/>
                  </w14:solidFill>
                </w14:textFill>
              </w:rPr>
              <w:t>浦东厂区</w:t>
            </w:r>
            <w:r>
              <w:rPr>
                <w:rFonts w:hint="eastAsia" w:ascii="仿宋_GB2312" w:hAnsi="微软雅黑" w:eastAsia="仿宋_GB2312" w:cs="微软雅黑"/>
                <w:color w:val="000000" w:themeColor="text1"/>
                <w:kern w:val="0"/>
                <w:sz w:val="24"/>
                <w:szCs w:val="24"/>
                <w14:textFill>
                  <w14:solidFill>
                    <w14:schemeClr w14:val="tx1"/>
                  </w14:solidFill>
                </w14:textFill>
              </w:rPr>
              <w:t>新能源配餐车车用充电桩采购项目</w:t>
            </w:r>
          </w:p>
        </w:tc>
        <w:tc>
          <w:tcPr>
            <w:tcW w:w="2415" w:type="dxa"/>
            <w:vAlign w:val="top"/>
          </w:tcPr>
          <w:p>
            <w:pPr>
              <w:rPr>
                <w:rFonts w:hint="default"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p>
        </w:tc>
        <w:tc>
          <w:tcPr>
            <w:tcW w:w="2685" w:type="dxa"/>
            <w:vAlign w:val="top"/>
          </w:tcPr>
          <w:p>
            <w:pPr>
              <w:rPr>
                <w:rFonts w:hint="eastAsia"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p>
        </w:tc>
      </w:tr>
    </w:tbl>
    <w:p>
      <w:pP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p>
    <w:p>
      <w:pP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AC477F"/>
    <w:multiLevelType w:val="singleLevel"/>
    <w:tmpl w:val="E5AC477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01D4"/>
    <w:rsid w:val="000550E3"/>
    <w:rsid w:val="00061DD7"/>
    <w:rsid w:val="00073587"/>
    <w:rsid w:val="000849F7"/>
    <w:rsid w:val="00084E14"/>
    <w:rsid w:val="000C170A"/>
    <w:rsid w:val="000E2B02"/>
    <w:rsid w:val="0013221E"/>
    <w:rsid w:val="001348E1"/>
    <w:rsid w:val="00171287"/>
    <w:rsid w:val="00180EAA"/>
    <w:rsid w:val="001C5795"/>
    <w:rsid w:val="001D0FAB"/>
    <w:rsid w:val="00201FAD"/>
    <w:rsid w:val="00214170"/>
    <w:rsid w:val="00223D20"/>
    <w:rsid w:val="00226EAE"/>
    <w:rsid w:val="002327A9"/>
    <w:rsid w:val="002B2046"/>
    <w:rsid w:val="002E107B"/>
    <w:rsid w:val="00325204"/>
    <w:rsid w:val="00362239"/>
    <w:rsid w:val="00371A25"/>
    <w:rsid w:val="003D05AB"/>
    <w:rsid w:val="003D1E41"/>
    <w:rsid w:val="003F31BE"/>
    <w:rsid w:val="00400996"/>
    <w:rsid w:val="00406426"/>
    <w:rsid w:val="00406574"/>
    <w:rsid w:val="00407C9D"/>
    <w:rsid w:val="00407CA1"/>
    <w:rsid w:val="00436531"/>
    <w:rsid w:val="004614B0"/>
    <w:rsid w:val="004A5B5D"/>
    <w:rsid w:val="004C6A98"/>
    <w:rsid w:val="00514B39"/>
    <w:rsid w:val="00551F28"/>
    <w:rsid w:val="0056617B"/>
    <w:rsid w:val="005709EB"/>
    <w:rsid w:val="00594C13"/>
    <w:rsid w:val="005B08D1"/>
    <w:rsid w:val="005C3C14"/>
    <w:rsid w:val="006030BF"/>
    <w:rsid w:val="0062742F"/>
    <w:rsid w:val="006913D3"/>
    <w:rsid w:val="006C0293"/>
    <w:rsid w:val="006E092D"/>
    <w:rsid w:val="0070497D"/>
    <w:rsid w:val="007106B6"/>
    <w:rsid w:val="00724476"/>
    <w:rsid w:val="00731B46"/>
    <w:rsid w:val="00736CD6"/>
    <w:rsid w:val="00747086"/>
    <w:rsid w:val="00762A19"/>
    <w:rsid w:val="00794D8C"/>
    <w:rsid w:val="007A72FA"/>
    <w:rsid w:val="007B0156"/>
    <w:rsid w:val="007C11D9"/>
    <w:rsid w:val="00804D24"/>
    <w:rsid w:val="0085224A"/>
    <w:rsid w:val="008A28DF"/>
    <w:rsid w:val="008A7E4C"/>
    <w:rsid w:val="008C17EF"/>
    <w:rsid w:val="008D37C2"/>
    <w:rsid w:val="008F001A"/>
    <w:rsid w:val="0090411D"/>
    <w:rsid w:val="00971051"/>
    <w:rsid w:val="00981A68"/>
    <w:rsid w:val="00983571"/>
    <w:rsid w:val="009A49D2"/>
    <w:rsid w:val="009A6AC9"/>
    <w:rsid w:val="009B0260"/>
    <w:rsid w:val="009B317D"/>
    <w:rsid w:val="00A442D9"/>
    <w:rsid w:val="00A47B16"/>
    <w:rsid w:val="00A96368"/>
    <w:rsid w:val="00AB3BE8"/>
    <w:rsid w:val="00AF7503"/>
    <w:rsid w:val="00B72329"/>
    <w:rsid w:val="00B747B2"/>
    <w:rsid w:val="00B863E1"/>
    <w:rsid w:val="00BF7988"/>
    <w:rsid w:val="00C21429"/>
    <w:rsid w:val="00C6029A"/>
    <w:rsid w:val="00CA3B76"/>
    <w:rsid w:val="00CC1EA5"/>
    <w:rsid w:val="00CC4E45"/>
    <w:rsid w:val="00CD6B6B"/>
    <w:rsid w:val="00CE6F2E"/>
    <w:rsid w:val="00D07988"/>
    <w:rsid w:val="00D2321C"/>
    <w:rsid w:val="00D3022D"/>
    <w:rsid w:val="00D477D1"/>
    <w:rsid w:val="00D75620"/>
    <w:rsid w:val="00DE258D"/>
    <w:rsid w:val="00E0025A"/>
    <w:rsid w:val="00E17ADC"/>
    <w:rsid w:val="00E5322E"/>
    <w:rsid w:val="00E96F5B"/>
    <w:rsid w:val="00EC4A37"/>
    <w:rsid w:val="00EC621F"/>
    <w:rsid w:val="00ED5206"/>
    <w:rsid w:val="00F61A1A"/>
    <w:rsid w:val="00F9084B"/>
    <w:rsid w:val="01122C80"/>
    <w:rsid w:val="01155E73"/>
    <w:rsid w:val="02F12047"/>
    <w:rsid w:val="02FC0F80"/>
    <w:rsid w:val="038D13F5"/>
    <w:rsid w:val="03A11D6F"/>
    <w:rsid w:val="03E23758"/>
    <w:rsid w:val="09AA40ED"/>
    <w:rsid w:val="0A35205B"/>
    <w:rsid w:val="0B613EDC"/>
    <w:rsid w:val="0C0A33C9"/>
    <w:rsid w:val="0C1E413A"/>
    <w:rsid w:val="0F415EE5"/>
    <w:rsid w:val="107965E8"/>
    <w:rsid w:val="10EB5CAC"/>
    <w:rsid w:val="11342E45"/>
    <w:rsid w:val="11871246"/>
    <w:rsid w:val="13957981"/>
    <w:rsid w:val="14404A24"/>
    <w:rsid w:val="156036C3"/>
    <w:rsid w:val="162F109F"/>
    <w:rsid w:val="16317378"/>
    <w:rsid w:val="18005693"/>
    <w:rsid w:val="18033574"/>
    <w:rsid w:val="1AD55E87"/>
    <w:rsid w:val="1B560F52"/>
    <w:rsid w:val="24226318"/>
    <w:rsid w:val="245F5A32"/>
    <w:rsid w:val="247356F9"/>
    <w:rsid w:val="277417EB"/>
    <w:rsid w:val="28DB27E2"/>
    <w:rsid w:val="28E06186"/>
    <w:rsid w:val="29A17AD7"/>
    <w:rsid w:val="2B25715A"/>
    <w:rsid w:val="2B4070D4"/>
    <w:rsid w:val="2B724FC1"/>
    <w:rsid w:val="2CE545D6"/>
    <w:rsid w:val="2FB757EC"/>
    <w:rsid w:val="3001276B"/>
    <w:rsid w:val="30543114"/>
    <w:rsid w:val="305B0D59"/>
    <w:rsid w:val="30C31789"/>
    <w:rsid w:val="30F43B1F"/>
    <w:rsid w:val="31011FA0"/>
    <w:rsid w:val="32AA7A6A"/>
    <w:rsid w:val="331F7DEA"/>
    <w:rsid w:val="34F26180"/>
    <w:rsid w:val="37B0491D"/>
    <w:rsid w:val="39D04FA7"/>
    <w:rsid w:val="3A535754"/>
    <w:rsid w:val="40394495"/>
    <w:rsid w:val="408349EA"/>
    <w:rsid w:val="42970A2A"/>
    <w:rsid w:val="42AE5C64"/>
    <w:rsid w:val="42C2256A"/>
    <w:rsid w:val="44796ECB"/>
    <w:rsid w:val="47BB4B72"/>
    <w:rsid w:val="4C132CBC"/>
    <w:rsid w:val="4C4E0035"/>
    <w:rsid w:val="4CBD4A48"/>
    <w:rsid w:val="4FDE438F"/>
    <w:rsid w:val="50A41B3A"/>
    <w:rsid w:val="50BE1AE9"/>
    <w:rsid w:val="515437E4"/>
    <w:rsid w:val="51D751EE"/>
    <w:rsid w:val="51DD1EFB"/>
    <w:rsid w:val="52641DFF"/>
    <w:rsid w:val="548A5E7C"/>
    <w:rsid w:val="54AA020A"/>
    <w:rsid w:val="55A33EB3"/>
    <w:rsid w:val="588910F8"/>
    <w:rsid w:val="596E3C66"/>
    <w:rsid w:val="5D0B5592"/>
    <w:rsid w:val="5DFD1613"/>
    <w:rsid w:val="5E19144E"/>
    <w:rsid w:val="5EBD3594"/>
    <w:rsid w:val="5F0E33D1"/>
    <w:rsid w:val="5F6C1325"/>
    <w:rsid w:val="60D95FE1"/>
    <w:rsid w:val="62752281"/>
    <w:rsid w:val="63326DAF"/>
    <w:rsid w:val="6432158E"/>
    <w:rsid w:val="64B20F6E"/>
    <w:rsid w:val="64E37A43"/>
    <w:rsid w:val="66191A7F"/>
    <w:rsid w:val="68682FBE"/>
    <w:rsid w:val="6A456AD9"/>
    <w:rsid w:val="6A5C2774"/>
    <w:rsid w:val="6B927153"/>
    <w:rsid w:val="6C9D6C9C"/>
    <w:rsid w:val="6DFF62F4"/>
    <w:rsid w:val="6E5A7CE9"/>
    <w:rsid w:val="71C70964"/>
    <w:rsid w:val="73C60433"/>
    <w:rsid w:val="799E1EA7"/>
    <w:rsid w:val="79F5428E"/>
    <w:rsid w:val="7BF41DC0"/>
    <w:rsid w:val="7D3226AE"/>
    <w:rsid w:val="7F531DC3"/>
    <w:rsid w:val="7FC46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rPr>
      <w:rFonts w:ascii="等线" w:hAnsi="等线" w:eastAsia="等线" w:cs="Times New Roman"/>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font01"/>
    <w:basedOn w:val="7"/>
    <w:qFormat/>
    <w:uiPriority w:val="0"/>
    <w:rPr>
      <w:rFonts w:hint="eastAsia" w:ascii="仿宋_GB2312" w:eastAsia="仿宋_GB2312" w:cs="仿宋_GB2312"/>
      <w:color w:val="000000"/>
      <w:sz w:val="24"/>
      <w:szCs w:val="24"/>
      <w:u w:val="none"/>
    </w:rPr>
  </w:style>
  <w:style w:type="table" w:customStyle="1" w:styleId="1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988</Words>
  <Characters>1296</Characters>
  <Lines>11</Lines>
  <Paragraphs>3</Paragraphs>
  <TotalTime>2</TotalTime>
  <ScaleCrop>false</ScaleCrop>
  <LinksUpToDate>false</LinksUpToDate>
  <CharactersWithSpaces>1337</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陈天舒</cp:lastModifiedBy>
  <cp:lastPrinted>2024-06-21T02:43:00Z</cp:lastPrinted>
  <dcterms:modified xsi:type="dcterms:W3CDTF">2025-10-16T01:31:42Z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y fmtid="{D5CDD505-2E9C-101B-9397-08002B2CF9AE}" pid="4" name="KSOTemplateDocerSaveRecord">
    <vt:lpwstr>eyJoZGlkIjoiOTU2NTM3NWM1ZmVkOTk2MzIyYmQ3MzBkYzQ3MGJjNmEiLCJ1c2VySWQiOiI0NDY2MTkwMDEifQ==</vt:lpwstr>
  </property>
</Properties>
</file>