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浦东厂</w:t>
      </w:r>
      <w:r>
        <w:rPr>
          <w:rFonts w:hint="eastAsia" w:ascii="方正小标宋简体" w:hAnsi="方正小标宋简体" w:eastAsia="方正小标宋简体" w:cs="方正小标宋简体"/>
          <w:b w:val="0"/>
          <w:bCs w:val="0"/>
          <w:sz w:val="44"/>
          <w:szCs w:val="44"/>
          <w:shd w:val="clear"/>
          <w:lang w:val="en-US" w:eastAsia="zh-CN"/>
        </w:rPr>
        <w:t>区生产区</w:t>
      </w:r>
      <w:r>
        <w:rPr>
          <w:rFonts w:hint="eastAsia" w:ascii="方正小标宋简体" w:hAnsi="方正小标宋简体" w:eastAsia="方正小标宋简体" w:cs="方正小标宋简体"/>
          <w:b w:val="0"/>
          <w:bCs w:val="0"/>
          <w:sz w:val="44"/>
          <w:szCs w:val="44"/>
          <w:lang w:val="en-US" w:eastAsia="zh-CN"/>
        </w:rPr>
        <w:t>排风机设备采购项目</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eastAsia="zh-CN"/>
        </w:rPr>
        <w:t>采购</w:t>
      </w:r>
      <w:r>
        <w:rPr>
          <w:rFonts w:hint="eastAsia" w:ascii="方正小标宋简体" w:hAnsi="方正小标宋简体" w:eastAsia="方正小标宋简体" w:cs="方正小标宋简体"/>
          <w:b w:val="0"/>
          <w:bCs w:val="0"/>
          <w:kern w:val="0"/>
          <w:sz w:val="44"/>
          <w:szCs w:val="44"/>
          <w:lang w:val="en-US" w:eastAsia="zh-CN"/>
        </w:rPr>
        <w:t>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浦东1F清洗间（脏区）房间、2F洗碗间（清真）房间排风风机风量偏小，风管老化破损均需更新。</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上海中航航空食品有限公司浦东厂区生排风机设备采购项目</w:t>
      </w:r>
    </w:p>
    <w:p>
      <w:pPr>
        <w:keepNext w:val="0"/>
        <w:keepLines w:val="0"/>
        <w:pageBreakBefore w:val="0"/>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自合同签订之日起24个月（含质保期）。</w:t>
      </w:r>
    </w:p>
    <w:p>
      <w:pPr>
        <w:keepNext w:val="0"/>
        <w:keepLines w:val="0"/>
        <w:pageBreakBefore w:val="0"/>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60个自然日内。</w:t>
      </w:r>
    </w:p>
    <w:p>
      <w:pPr>
        <w:keepNext w:val="0"/>
        <w:keepLines w:val="0"/>
        <w:pageBreakBefore w:val="0"/>
        <w:shd w:val="clear"/>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30日内支付15%预付款，设备到货安装调试合格后支付35%，设备试运行三个月且验收合格后一个月内支付合同总价的45%，待质保期满且无任何质量问题30日内支付剩余的5%。每次付款前要求供应商提供增值税专用发票，并保证发票的真实性。</w:t>
      </w:r>
    </w:p>
    <w:p>
      <w:pPr>
        <w:keepNext w:val="0"/>
        <w:keepLines w:val="0"/>
        <w:pageBreakBefore w:val="0"/>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40" w:firstLineChars="200"/>
        <w:textAlignment w:val="auto"/>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7.验收标准：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40" w:firstLineChars="200"/>
        <w:textAlignment w:val="auto"/>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符合</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GB50019-2015《工业建筑供暖通风与空气调节设计规范》的</w:t>
      </w:r>
      <w:r>
        <w:rPr>
          <w:rFonts w:hint="default"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设计与施工规范</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。材料提供产</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品合格证和检测报告。并符合需求中的品牌、规格要求。出具</w:t>
      </w:r>
      <w:bookmarkStart w:id="0" w:name="_GoBack"/>
      <w:bookmarkEnd w:id="0"/>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验收单，双方验收后签字盖公章。</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在设备稳定运行1个月后，供应商需</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承担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负责聘请第三方机构对设备进行环境排放污染因子检测，并提供检测报告给采购方。检测报告作为稳定运行验收的依据。</w:t>
      </w:r>
    </w:p>
    <w:p>
      <w:pPr>
        <w:pStyle w:val="7"/>
        <w:numPr>
          <w:ilvl w:val="0"/>
          <w:numId w:val="0"/>
        </w:numPr>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7"/>
        <w:numPr>
          <w:ilvl w:val="0"/>
          <w:numId w:val="0"/>
        </w:numP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本项目已取得的批复。</w:t>
      </w:r>
    </w:p>
    <w:p>
      <w:pPr>
        <w:pStyle w:val="7"/>
        <w:numPr>
          <w:ilvl w:val="0"/>
          <w:numId w:val="0"/>
        </w:numPr>
        <w:ind w:leftChars="0" w:firstLine="640" w:firstLineChars="200"/>
        <w:rPr>
          <w:rFonts w:hint="default" w:ascii="黑体" w:hAnsi="黑体" w:eastAsia="黑体" w:cs="微软雅黑"/>
          <w:color w:val="000000" w:themeColor="text1"/>
          <w:kern w:val="0"/>
          <w:sz w:val="32"/>
          <w:szCs w:val="32"/>
          <w:lang w:val="en-US"/>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三、技术要求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勘探</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出具详细施工方案</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对以下需求数据有异议的，请在三个工作日内以书面形式提出，不提出异议的视为默认。</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（一）排风机、风管需求：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tbl>
      <w:tblPr>
        <w:tblStyle w:val="6"/>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3"/>
        <w:gridCol w:w="1091"/>
        <w:gridCol w:w="2368"/>
        <w:gridCol w:w="2032"/>
        <w:gridCol w:w="633"/>
        <w:gridCol w:w="454"/>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w:t>
            </w: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一楼清洗间</w:t>
            </w: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304不锈钢风管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厚度1.2mm（800*800）</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含：全套配件（丝杆、膨胀、法兰螺丝螺帽等，必须是不锈钢材质）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风口</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600mm*600mm</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离心风机</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11KW、10602-21204m³/h、1553-984Pa</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规格与风管配套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原有风机、风管拆除</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风机新建基础</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按风机尺寸</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安装/调试费</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废旧风管等施工垃圾清运处理（不含风机）</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风机前后软接头</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尺寸按照风机进出风口定制</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起帆电缆</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YJV.3*10.2*6</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米</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不锈钢电箱</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户外：配断路器、接触器等控制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二楼(清真)洗碗间</w:t>
            </w: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304不锈钢风管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厚度1.2mm（500*800）</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含：全套配件（丝杆、膨胀、法兰螺丝螺帽等，必须是不锈钢材质）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离心风机</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5.5KW、7367~14734m³/h、1389~881Pa</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规格与风管配套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风机前后软接头</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尺寸按照风机进出风口定制</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风口</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600mm*600mm</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原有风机、风管拆除</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安装/调试费</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废旧风管等施工垃圾清运处理（不含风机）</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施工垃圾均由施工方负责清理</w:t>
            </w:r>
          </w:p>
        </w:tc>
      </w:tr>
    </w:tbl>
    <w:p>
      <w:pPr>
        <w:pStyle w:val="7"/>
        <w:numPr>
          <w:ilvl w:val="0"/>
          <w:numId w:val="0"/>
        </w:numPr>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p>
    <w:p>
      <w:pPr>
        <w:pStyle w:val="7"/>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（二）施工注意事项：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pStyle w:val="7"/>
        <w:numPr>
          <w:ilvl w:val="0"/>
          <w:numId w:val="0"/>
        </w:numP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rPr>
        <w:t>根据生产需要避开生产</w:t>
      </w:r>
      <w:r>
        <w:rPr>
          <w:rFonts w:hint="eastAsia" w:ascii="仿宋_GB2312" w:hAnsi="仿宋_GB2312" w:eastAsia="仿宋_GB2312" w:cs="仿宋_GB2312"/>
          <w:color w:val="auto"/>
          <w:sz w:val="32"/>
          <w:szCs w:val="32"/>
          <w:lang w:val="en-US" w:eastAsia="zh-CN"/>
        </w:rPr>
        <w:t>施工区域做好防护</w:t>
      </w:r>
      <w:r>
        <w:rPr>
          <w:rFonts w:hint="eastAsia" w:ascii="仿宋_GB2312" w:hAnsi="仿宋_GB2312" w:eastAsia="仿宋_GB2312" w:cs="仿宋_GB2312"/>
          <w:color w:val="auto"/>
          <w:sz w:val="32"/>
          <w:szCs w:val="32"/>
          <w:lang w:val="en-US"/>
        </w:rPr>
        <w:t>分段进行。</w:t>
      </w:r>
    </w:p>
    <w:p>
      <w:pPr>
        <w:pStyle w:val="7"/>
        <w:numPr>
          <w:ilvl w:val="0"/>
          <w:numId w:val="0"/>
        </w:numPr>
        <w:ind w:left="638" w:leftChars="304" w:firstLine="0" w:firstLineChars="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rPr>
        <w:t>施工人员具备《焊接操作证书》《高空作业证书》。</w:t>
      </w:r>
    </w:p>
    <w:p>
      <w:pPr>
        <w:pStyle w:val="7"/>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3.本项目金额为闭口包干价，包含所有人工、材料、工具（如：吊车）等。</w:t>
      </w:r>
    </w:p>
    <w:p>
      <w:pPr>
        <w:pStyle w:val="7"/>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四、供应商资质</w:t>
      </w:r>
    </w:p>
    <w:p>
      <w:pPr>
        <w:pStyle w:val="7"/>
        <w:numPr>
          <w:ilvl w:val="0"/>
          <w:numId w:val="0"/>
        </w:numPr>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具有有效期内的营业执照及相应的经营范围：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机电设备安装维修，建筑工程施工等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sectPr>
      <w:footerReference r:id="rId3" w:type="default"/>
      <w:pgSz w:w="11906" w:h="16838"/>
      <w:pgMar w:top="1440" w:right="1800" w:bottom="1440" w:left="1800"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53B51"/>
    <w:rsid w:val="028C37DB"/>
    <w:rsid w:val="0E694AF6"/>
    <w:rsid w:val="14B36493"/>
    <w:rsid w:val="18953B51"/>
    <w:rsid w:val="221C5F59"/>
    <w:rsid w:val="2DED4349"/>
    <w:rsid w:val="307A2AE7"/>
    <w:rsid w:val="399B4D2C"/>
    <w:rsid w:val="5E1327C5"/>
    <w:rsid w:val="5E6A6A98"/>
    <w:rsid w:val="5F1777C6"/>
    <w:rsid w:val="607B0DD2"/>
    <w:rsid w:val="644D4085"/>
    <w:rsid w:val="69D447E6"/>
    <w:rsid w:val="6D114C4E"/>
    <w:rsid w:val="6D1309A7"/>
    <w:rsid w:val="722F7FB2"/>
    <w:rsid w:val="755D4036"/>
    <w:rsid w:val="75A5605C"/>
    <w:rsid w:val="76280E92"/>
    <w:rsid w:val="7A8E5C14"/>
    <w:rsid w:val="7DC14DE0"/>
    <w:rsid w:val="7EF41DA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2025-08-21T05:30:00Z</dcterms:created>
  <dc:creator>郭永红</dc:creator>
  <cp:lastModifiedBy>葛子靖</cp:lastModifiedBy>
  <dcterms:modified xsi:type="dcterms:W3CDTF">2025-09-29T02:19:54Z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