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上海中航航空食品有限公司</w:t>
      </w:r>
    </w:p>
    <w:p>
      <w:pPr>
        <w:keepNext w:val="0"/>
        <w:keepLines w:val="0"/>
        <w:pageBreakBefore w:val="0"/>
        <w:widowControl w:val="0"/>
        <w:shd w:val="clear"/>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虹桥厂区厨房排风机、风管、油烟净化器设备采购项目</w:t>
      </w:r>
      <w:r>
        <w:rPr>
          <w:rFonts w:hint="eastAsia" w:ascii="方正小标宋简体" w:hAnsi="方正小标宋简体" w:eastAsia="方正小标宋简体" w:cs="方正小标宋简体"/>
          <w:b w:val="0"/>
          <w:bCs w:val="0"/>
          <w:kern w:val="0"/>
          <w:sz w:val="44"/>
          <w:szCs w:val="44"/>
          <w:lang w:eastAsia="zh-CN"/>
        </w:rPr>
        <w:t>采购</w:t>
      </w:r>
      <w:r>
        <w:rPr>
          <w:rFonts w:hint="eastAsia" w:ascii="方正小标宋简体" w:hAnsi="方正小标宋简体" w:eastAsia="方正小标宋简体" w:cs="方正小标宋简体"/>
          <w:b w:val="0"/>
          <w:bCs w:val="0"/>
          <w:kern w:val="0"/>
          <w:sz w:val="44"/>
          <w:szCs w:val="44"/>
          <w:lang w:val="en-US" w:eastAsia="zh-CN"/>
        </w:rPr>
        <w:t>需求</w:t>
      </w:r>
    </w:p>
    <w:p>
      <w:pPr>
        <w:shd w:val="clear"/>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p>
    <w:p>
      <w:pPr>
        <w:shd w:val="clear"/>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根据中翼航空投资有限公司标准采购管理规程和上海中航航空食品有限公司采购管理规定，该项目已具备采购条件。采购申请具体如下：</w:t>
      </w:r>
    </w:p>
    <w:p>
      <w:pPr>
        <w:shd w:val="clear"/>
        <w:ind w:firstLine="640" w:firstLineChars="200"/>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一、</w:t>
      </w:r>
      <w:r>
        <w:rPr>
          <w:rFonts w:hint="eastAsia" w:ascii="黑体" w:hAnsi="黑体" w:eastAsia="黑体" w:cs="微软雅黑"/>
          <w:color w:val="000000" w:themeColor="text1"/>
          <w:kern w:val="0"/>
          <w:sz w:val="32"/>
          <w:szCs w:val="32"/>
          <w14:textFill>
            <w14:solidFill>
              <w14:schemeClr w14:val="tx1"/>
            </w14:solidFill>
          </w14:textFill>
        </w:rPr>
        <w:t>项目概况</w:t>
      </w:r>
    </w:p>
    <w:p>
      <w:pPr>
        <w:keepNext w:val="0"/>
        <w:keepLines w:val="0"/>
        <w:pageBreakBefore w:val="0"/>
        <w:widowControl w:val="0"/>
        <w:shd w:val="clear"/>
        <w:kinsoku/>
        <w:wordWrap/>
        <w:overflowPunct/>
        <w:topLinePunct w:val="0"/>
        <w:autoSpaceDE/>
        <w:autoSpaceDN/>
        <w:bidi w:val="0"/>
        <w:adjustRightInd/>
        <w:snapToGrid/>
        <w:spacing w:line="336" w:lineRule="auto"/>
        <w:ind w:right="0" w:rightChars="0" w:firstLine="640" w:firstLineChars="200"/>
        <w:textAlignment w:val="auto"/>
        <w:outlineLvl w:val="9"/>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1.项目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背景</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虹桥3楼员工厨房，2楼热厨房，排风机风量小，需更换大风量排风机和配套的风管、油烟净化设备</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 xml:space="preserve"> </w:t>
      </w:r>
      <w:r>
        <w:rPr>
          <w:rFonts w:hint="eastAsia" w:ascii="仿宋_GB2312" w:hAnsi="微软雅黑" w:eastAsia="仿宋_GB2312" w:cs="微软雅黑"/>
          <w:color w:val="000000" w:themeColor="text1"/>
          <w:kern w:val="0"/>
          <w:sz w:val="32"/>
          <w:szCs w:val="32"/>
          <w14:textFill>
            <w14:solidFill>
              <w14:schemeClr w14:val="tx1"/>
            </w14:solidFill>
          </w14:textFill>
        </w:rPr>
        <w:t>2.项目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名称</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上海中航航空食品有限公司虹桥厂区厨房排风机、风管、油烟净化器设备采购项目</w:t>
      </w:r>
    </w:p>
    <w:p>
      <w:pPr>
        <w:shd w:val="clear"/>
        <w:spacing w:line="336" w:lineRule="auto"/>
        <w:ind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3</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.合同期限：</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自合同签订之日起24个月（含质保期）。</w:t>
      </w:r>
    </w:p>
    <w:p>
      <w:pPr>
        <w:shd w:val="clear"/>
        <w:spacing w:line="336" w:lineRule="auto"/>
        <w:ind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4</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.交付期限：</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60个自然日内。</w:t>
      </w:r>
    </w:p>
    <w:p>
      <w:pPr>
        <w:keepNext w:val="0"/>
        <w:keepLines w:val="0"/>
        <w:pageBreakBefore w:val="0"/>
        <w:shd w:val="clear"/>
        <w:kinsoku/>
        <w:overflowPunct/>
        <w:topLinePunct w:val="0"/>
        <w:autoSpaceDE/>
        <w:autoSpaceDN/>
        <w:bidi w:val="0"/>
        <w:adjustRightInd/>
        <w:snapToGrid/>
        <w:spacing w:line="336" w:lineRule="auto"/>
        <w:ind w:firstLine="640" w:firstLineChars="200"/>
        <w:textAlignment w:val="auto"/>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5</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.付款方式：</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合同签订后30日内支付15%预付款，设备到货安装调试合格后支付35%，设备试运行三个月且验收合格后一个月内支付合同总价的45%，待质保期满且无任何质量问题30日内支付剩余的5%。每次付款前要求供应商提供增值税专用发票，并保证发票的真实性。</w:t>
      </w:r>
    </w:p>
    <w:p>
      <w:pPr>
        <w:shd w:val="clear"/>
        <w:spacing w:line="336" w:lineRule="auto"/>
        <w:ind w:firstLine="640" w:firstLineChars="200"/>
        <w:rPr>
          <w:rFonts w:hint="eastAsia" w:ascii="仿宋_GB2312" w:hAnsi="微软雅黑" w:eastAsia="仿宋_GB2312" w:cs="微软雅黑"/>
          <w:color w:val="000000" w:themeColor="text1"/>
          <w:kern w:val="0"/>
          <w:sz w:val="32"/>
          <w:szCs w:val="32"/>
          <w:lang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6</w:t>
      </w:r>
      <w:r>
        <w:rPr>
          <w:rFonts w:hint="eastAsia" w:ascii="仿宋_GB2312" w:hAnsi="微软雅黑" w:eastAsia="仿宋_GB2312" w:cs="微软雅黑"/>
          <w:color w:val="000000" w:themeColor="text1"/>
          <w:kern w:val="0"/>
          <w:sz w:val="32"/>
          <w:szCs w:val="32"/>
          <w14:textFill>
            <w14:solidFill>
              <w14:schemeClr w14:val="tx1"/>
            </w14:solidFill>
          </w14:textFill>
        </w:rPr>
        <w:t>.项目地点：</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闵行区申达五</w:t>
      </w:r>
      <w:r>
        <w:rPr>
          <w:rFonts w:hint="eastAsia" w:ascii="仿宋_GB2312" w:hAnsi="微软雅黑" w:eastAsia="仿宋_GB2312" w:cs="微软雅黑"/>
          <w:color w:val="000000" w:themeColor="text1"/>
          <w:kern w:val="0"/>
          <w:sz w:val="32"/>
          <w:szCs w:val="32"/>
          <w14:textFill>
            <w14:solidFill>
              <w14:schemeClr w14:val="tx1"/>
            </w14:solidFill>
          </w14:textFill>
        </w:rPr>
        <w:t>路10</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6</w:t>
      </w:r>
      <w:r>
        <w:rPr>
          <w:rFonts w:hint="eastAsia" w:ascii="仿宋_GB2312" w:hAnsi="微软雅黑" w:eastAsia="仿宋_GB2312" w:cs="微软雅黑"/>
          <w:color w:val="000000" w:themeColor="text1"/>
          <w:kern w:val="0"/>
          <w:sz w:val="32"/>
          <w:szCs w:val="32"/>
          <w14:textFill>
            <w14:solidFill>
              <w14:schemeClr w14:val="tx1"/>
            </w14:solidFill>
          </w14:textFill>
        </w:rPr>
        <w:t>号</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50" w:lineRule="atLeast"/>
        <w:ind w:left="0" w:right="0" w:firstLine="640" w:firstLineChars="200"/>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7.验收标准：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50" w:lineRule="atLeast"/>
        <w:ind w:left="0" w:right="0" w:firstLine="640" w:firstLineChars="200"/>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符合GB</w:t>
      </w:r>
      <w:r>
        <w:rPr>
          <w:rFonts w:hint="eastAsia" w:ascii="仿宋_GB2312" w:hAnsi="微软雅黑" w:eastAsia="仿宋_GB2312" w:cs="微软雅黑"/>
          <w:b w:val="0"/>
          <w:bCs w:val="0"/>
          <w:color w:val="000000" w:themeColor="text1"/>
          <w:kern w:val="0"/>
          <w:sz w:val="32"/>
          <w:szCs w:val="32"/>
          <w:shd w:val="clear"/>
          <w:lang w:val="en-US" w:eastAsia="zh-CN" w:bidi="ar-SA"/>
          <w14:textFill>
            <w14:solidFill>
              <w14:schemeClr w14:val="tx1"/>
            </w14:solidFill>
          </w14:textFill>
        </w:rPr>
        <w:t>50019-2015《工业建筑供暖通风与空气调节设计规范》和</w:t>
      </w:r>
      <w:r>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上海市</w:t>
      </w:r>
      <w:r>
        <w:rPr>
          <w:rFonts w:hint="eastAsia" w:ascii="仿宋_GB2312" w:hAnsi="微软雅黑" w:eastAsia="仿宋_GB2312" w:cs="微软雅黑"/>
          <w:b w:val="0"/>
          <w:bCs w:val="0"/>
          <w:color w:val="000000" w:themeColor="text1"/>
          <w:kern w:val="0"/>
          <w:sz w:val="32"/>
          <w:szCs w:val="32"/>
          <w:shd w:val="clear"/>
          <w:lang w:val="en-US" w:eastAsia="zh-CN" w:bidi="ar-SA"/>
          <w14:textFill>
            <w14:solidFill>
              <w14:schemeClr w14:val="tx1"/>
            </w14:solidFill>
          </w14:textFill>
        </w:rPr>
        <w:t>《</w:t>
      </w:r>
      <w:r>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餐饮业油烟排放标准》DB31844-2014的</w:t>
      </w:r>
      <w:r>
        <w:rPr>
          <w:rFonts w:hint="default"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设计与施工规范</w:t>
      </w:r>
      <w:r>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。材料提供产品合格证和检测报告。并符合需求中的品牌、规格要求。出具验收单，双方验收后签字盖公章。</w:t>
      </w:r>
    </w:p>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在设备稳定运行1个月后，供应商需</w:t>
      </w:r>
      <w:r>
        <w:rPr>
          <w:rFonts w:hint="eastAsia" w:ascii="仿宋_GB2312" w:hAnsi="仿宋_GB2312" w:eastAsia="仿宋_GB2312" w:cs="仿宋_GB2312"/>
          <w:color w:val="000000" w:themeColor="text1"/>
          <w:kern w:val="0"/>
          <w:sz w:val="32"/>
          <w:szCs w:val="32"/>
          <w:shd w:val="clear"/>
          <w:lang w:val="en-US" w:eastAsia="zh-CN"/>
          <w14:textFill>
            <w14:solidFill>
              <w14:schemeClr w14:val="tx1"/>
            </w14:solidFill>
          </w14:textFill>
        </w:rPr>
        <w:t>承担</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负责聘请第三方机构对设备进行环境排放污染因子检测，并提供检测报告给采购方。检测报告作为稳定运行验收的依据。</w:t>
      </w:r>
    </w:p>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油烟净化设备需拥有中国环境保护产品认证</w:t>
      </w:r>
      <w:r>
        <w:rPr>
          <w:rFonts w:hint="eastAsia" w:ascii="仿宋_GB2312" w:hAnsi="仿宋_GB2312" w:eastAsia="仿宋_GB2312" w:cs="仿宋_GB2312"/>
          <w:color w:val="000000" w:themeColor="text1"/>
          <w:kern w:val="0"/>
          <w:sz w:val="32"/>
          <w:szCs w:val="32"/>
          <w:shd w:val="clear"/>
          <w:lang w:val="en-US" w:eastAsia="zh-CN"/>
          <w14:textFill>
            <w14:solidFill>
              <w14:schemeClr w14:val="tx1"/>
            </w14:solidFill>
          </w14:textFill>
        </w:rPr>
        <w:t>（CCEP）、</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确保符合国家环保标准。提供第三方检测报告，验证油烟浓度、颗粒物浓度、净化效率等核心指标。</w:t>
      </w:r>
    </w:p>
    <w:p>
      <w:pPr>
        <w:pStyle w:val="10"/>
        <w:numPr>
          <w:ilvl w:val="0"/>
          <w:numId w:val="0"/>
        </w:numPr>
        <w:shd w:val="clear"/>
        <w:ind w:firstLine="640" w:firstLineChars="200"/>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二、</w:t>
      </w:r>
      <w:r>
        <w:rPr>
          <w:rFonts w:hint="eastAsia" w:ascii="黑体" w:hAnsi="黑体" w:eastAsia="黑体" w:cs="微软雅黑"/>
          <w:color w:val="000000" w:themeColor="text1"/>
          <w:kern w:val="0"/>
          <w:sz w:val="32"/>
          <w:szCs w:val="32"/>
          <w14:textFill>
            <w14:solidFill>
              <w14:schemeClr w14:val="tx1"/>
            </w14:solidFill>
          </w14:textFill>
        </w:rPr>
        <w:t>采购计划批复情况</w:t>
      </w:r>
    </w:p>
    <w:p>
      <w:pPr>
        <w:pStyle w:val="10"/>
        <w:numPr>
          <w:ilvl w:val="0"/>
          <w:numId w:val="0"/>
        </w:numPr>
        <w:shd w:val="clear"/>
        <w:ind w:leftChars="0" w:firstLine="640" w:firstLineChars="200"/>
        <w:rPr>
          <w:rFonts w:ascii="楷体_GB2312" w:hAnsi="微软雅黑" w:eastAsia="楷体_GB2312" w:cs="微软雅黑"/>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本项目已取得的批复。</w:t>
      </w:r>
    </w:p>
    <w:p>
      <w:pPr>
        <w:pStyle w:val="10"/>
        <w:numPr>
          <w:ilvl w:val="0"/>
          <w:numId w:val="0"/>
        </w:numPr>
        <w:shd w:val="clear"/>
        <w:ind w:leftChars="0" w:firstLine="640" w:firstLineChars="200"/>
        <w:rPr>
          <w:rFonts w:hint="default" w:ascii="黑体" w:hAnsi="黑体" w:eastAsia="黑体" w:cs="微软雅黑"/>
          <w:color w:val="000000" w:themeColor="text1"/>
          <w:kern w:val="0"/>
          <w:sz w:val="32"/>
          <w:szCs w:val="32"/>
          <w:lang w:val="en-US"/>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三、采购需求</w:t>
      </w:r>
    </w:p>
    <w:p>
      <w:pPr>
        <w:shd w:val="clear"/>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要求</w:t>
      </w:r>
      <w:r>
        <w:rPr>
          <w:rFonts w:hint="eastAsia" w:ascii="仿宋_GB2312" w:hAnsi="仿宋_GB2312" w:eastAsia="仿宋_GB2312" w:cs="仿宋_GB2312"/>
          <w:color w:val="000000" w:themeColor="text1"/>
          <w:kern w:val="0"/>
          <w:sz w:val="32"/>
          <w:szCs w:val="32"/>
          <w14:textFill>
            <w14:solidFill>
              <w14:schemeClr w14:val="tx1"/>
            </w14:solidFill>
          </w14:textFill>
        </w:rPr>
        <w:t>报名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供应商</w:t>
      </w:r>
      <w:r>
        <w:rPr>
          <w:rFonts w:hint="eastAsia" w:ascii="仿宋_GB2312" w:hAnsi="仿宋_GB2312" w:eastAsia="仿宋_GB2312" w:cs="仿宋_GB2312"/>
          <w:color w:val="000000" w:themeColor="text1"/>
          <w:kern w:val="0"/>
          <w:sz w:val="32"/>
          <w:szCs w:val="32"/>
          <w14:textFill>
            <w14:solidFill>
              <w14:schemeClr w14:val="tx1"/>
            </w14:solidFill>
          </w14:textFill>
        </w:rPr>
        <w:t>集中</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勘探</w:t>
      </w:r>
      <w:r>
        <w:rPr>
          <w:rFonts w:hint="eastAsia" w:ascii="仿宋_GB2312" w:hAnsi="仿宋_GB2312" w:eastAsia="仿宋_GB2312" w:cs="仿宋_GB2312"/>
          <w:color w:val="000000" w:themeColor="text1"/>
          <w:kern w:val="0"/>
          <w:sz w:val="32"/>
          <w:szCs w:val="32"/>
          <w14:textFill>
            <w14:solidFill>
              <w14:schemeClr w14:val="tx1"/>
            </w14:solidFill>
          </w14:textFill>
        </w:rPr>
        <w:t>现场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对以下需求数据有异议的，请在三个工作日内以书面形式提出，不提出异议的视为默认。</w:t>
      </w:r>
    </w:p>
    <w:p>
      <w:pPr>
        <w:numPr>
          <w:ilvl w:val="0"/>
          <w:numId w:val="1"/>
        </w:numPr>
        <w:shd w:val="clear"/>
        <w:spacing w:line="336" w:lineRule="auto"/>
        <w:ind w:firstLine="640" w:firstLineChars="200"/>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油烟净化器设备需求：</w:t>
      </w:r>
    </w:p>
    <w:tbl>
      <w:tblPr>
        <w:tblStyle w:val="9"/>
        <w:tblW w:w="8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504"/>
        <w:gridCol w:w="2151"/>
        <w:gridCol w:w="667"/>
        <w:gridCol w:w="656"/>
        <w:gridCol w:w="2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2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名称</w:t>
            </w:r>
          </w:p>
        </w:tc>
        <w:tc>
          <w:tcPr>
            <w:tcW w:w="2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规格</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单位</w:t>
            </w:r>
          </w:p>
        </w:tc>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数量</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2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油烟净化器（</w:t>
            </w:r>
            <w:r>
              <w:rPr>
                <w:rFonts w:hint="eastAsia" w:ascii="宋体" w:hAnsi="宋体" w:eastAsia="宋体" w:cs="宋体"/>
                <w:i w:val="0"/>
                <w:color w:val="000000"/>
                <w:kern w:val="0"/>
                <w:sz w:val="24"/>
                <w:szCs w:val="24"/>
                <w:u w:val="none"/>
                <w:shd w:val="clear"/>
                <w:lang w:val="en-US" w:eastAsia="zh-CN" w:bidi="ar"/>
              </w:rPr>
              <w:t>静电式</w:t>
            </w:r>
            <w:r>
              <w:rPr>
                <w:rFonts w:hint="eastAsia" w:ascii="宋体" w:hAnsi="宋体" w:eastAsia="宋体" w:cs="宋体"/>
                <w:i w:val="0"/>
                <w:color w:val="000000"/>
                <w:kern w:val="0"/>
                <w:sz w:val="24"/>
                <w:szCs w:val="24"/>
                <w:u w:val="none"/>
                <w:lang w:val="en-US" w:eastAsia="zh-CN" w:bidi="ar"/>
              </w:rPr>
              <w:t>）</w:t>
            </w:r>
          </w:p>
        </w:tc>
        <w:tc>
          <w:tcPr>
            <w:tcW w:w="2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shd w:val="clear"/>
                <w:lang w:val="en-US" w:eastAsia="zh-CN"/>
              </w:rPr>
              <w:t>风量不低于</w:t>
            </w:r>
            <w:r>
              <w:rPr>
                <w:rFonts w:hint="eastAsia" w:ascii="宋体" w:hAnsi="宋体" w:eastAsia="宋体" w:cs="宋体"/>
                <w:i w:val="0"/>
                <w:color w:val="000000"/>
                <w:sz w:val="24"/>
                <w:szCs w:val="24"/>
                <w:u w:val="none"/>
              </w:rPr>
              <w:t>20000m3/h、220v</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4楼屋顶（员工厨房）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2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油烟净化器</w:t>
            </w:r>
            <w:r>
              <w:rPr>
                <w:rFonts w:hint="default" w:ascii="宋体" w:hAnsi="宋体" w:eastAsia="宋体" w:cs="宋体"/>
                <w:i w:val="0"/>
                <w:color w:val="000000"/>
                <w:kern w:val="0"/>
                <w:sz w:val="24"/>
                <w:szCs w:val="24"/>
                <w:u w:val="none"/>
                <w:shd w:val="clear"/>
                <w:lang w:val="en-US" w:eastAsia="zh-CN" w:bidi="ar"/>
              </w:rPr>
              <w:t>（</w:t>
            </w:r>
            <w:r>
              <w:rPr>
                <w:rFonts w:hint="eastAsia" w:ascii="宋体" w:hAnsi="宋体" w:eastAsia="宋体" w:cs="宋体"/>
                <w:i w:val="0"/>
                <w:color w:val="000000"/>
                <w:kern w:val="0"/>
                <w:sz w:val="24"/>
                <w:szCs w:val="24"/>
                <w:u w:val="none"/>
                <w:shd w:val="clear"/>
                <w:lang w:val="en-US" w:eastAsia="zh-CN" w:bidi="ar"/>
              </w:rPr>
              <w:t>静电式</w:t>
            </w:r>
            <w:r>
              <w:rPr>
                <w:rFonts w:hint="default" w:ascii="宋体" w:hAnsi="宋体" w:eastAsia="宋体" w:cs="宋体"/>
                <w:i w:val="0"/>
                <w:color w:val="000000"/>
                <w:kern w:val="0"/>
                <w:sz w:val="24"/>
                <w:szCs w:val="24"/>
                <w:u w:val="none"/>
                <w:shd w:val="clear"/>
                <w:lang w:val="en-US" w:eastAsia="zh-CN" w:bidi="ar"/>
              </w:rPr>
              <w:t>）</w:t>
            </w:r>
          </w:p>
        </w:tc>
        <w:tc>
          <w:tcPr>
            <w:tcW w:w="2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shd w:val="clear"/>
                <w:lang w:val="en-US" w:eastAsia="zh-CN"/>
              </w:rPr>
              <w:t>风量不低于</w:t>
            </w:r>
            <w:r>
              <w:rPr>
                <w:rFonts w:hint="eastAsia" w:ascii="宋体" w:hAnsi="宋体" w:eastAsia="宋体" w:cs="宋体"/>
                <w:i w:val="0"/>
                <w:color w:val="000000"/>
                <w:sz w:val="24"/>
                <w:szCs w:val="24"/>
                <w:u w:val="none"/>
              </w:rPr>
              <w:t>70000m3/h、220v</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3楼屋顶（2楼厨房）</w:t>
            </w:r>
          </w:p>
        </w:tc>
      </w:tr>
    </w:tbl>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1.油烟净化器设备需求数量两台。</w:t>
      </w:r>
    </w:p>
    <w:p>
      <w:pPr>
        <w:shd w:val="clear"/>
        <w:spacing w:line="336" w:lineRule="auto"/>
        <w:ind w:firstLine="640" w:firstLineChars="200"/>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2.更换</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设备后风量需确保在生产高峰时段也能有效捕集油烟，避免油烟弥漫车间。</w:t>
      </w:r>
    </w:p>
    <w:p>
      <w:pPr>
        <w:shd w:val="clear"/>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3.设备必须能够稳定达到上海市</w:t>
      </w:r>
      <w:r>
        <w:rPr>
          <w:rFonts w:hint="eastAsia" w:ascii="仿宋_GB2312" w:hAnsi="微软雅黑" w:eastAsia="仿宋_GB2312" w:cs="微软雅黑"/>
          <w:b w:val="0"/>
          <w:bCs w:val="0"/>
          <w:color w:val="000000" w:themeColor="text1"/>
          <w:kern w:val="0"/>
          <w:sz w:val="32"/>
          <w:szCs w:val="32"/>
          <w:shd w:val="clear"/>
          <w:lang w:val="en-US" w:eastAsia="zh-CN" w:bidi="ar-SA"/>
          <w14:textFill>
            <w14:solidFill>
              <w14:schemeClr w14:val="tx1"/>
            </w14:solidFill>
          </w14:textFill>
        </w:rPr>
        <w:t>《餐饮业油烟排放标准》DB31/844-2014</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的要求。油烟净化设施的最低去除效率达到90%以上，</w:t>
      </w:r>
      <w:r>
        <w:rPr>
          <w:rFonts w:hint="eastAsia" w:ascii="仿宋_GB2312" w:hAnsi="仿宋_GB2312" w:eastAsia="仿宋_GB2312" w:cs="仿宋_GB2312"/>
          <w:color w:val="000000" w:themeColor="text1"/>
          <w:kern w:val="0"/>
          <w:sz w:val="32"/>
          <w:szCs w:val="32"/>
          <w:shd w:val="clear"/>
          <w:lang w:val="en-US" w:eastAsia="zh-CN"/>
          <w14:textFill>
            <w14:solidFill>
              <w14:schemeClr w14:val="tx1"/>
            </w14:solidFill>
          </w14:textFill>
        </w:rPr>
        <w:t>以确保油烟排放浓度限值≤1.0mg/m³，</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减少对环境和人体健康的影响。</w:t>
      </w:r>
    </w:p>
    <w:p>
      <w:pPr>
        <w:shd w:val="clear"/>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4.设备还需对油烟中携带的颗粒物进行有效捕集，确保排放气体中的颗粒物含量符合相关标准。</w:t>
      </w:r>
    </w:p>
    <w:p>
      <w:pPr>
        <w:shd w:val="clear"/>
        <w:spacing w:line="336" w:lineRule="auto"/>
        <w:ind w:firstLine="640" w:firstLineChars="200"/>
        <w:rPr>
          <w:rFonts w:hint="default" w:ascii="仿宋_GB2312" w:hAnsi="仿宋_GB2312" w:eastAsia="仿宋_GB2312" w:cs="仿宋_GB2312"/>
          <w:color w:val="000000" w:themeColor="text1"/>
          <w:kern w:val="0"/>
          <w:sz w:val="32"/>
          <w:szCs w:val="32"/>
          <w:shd w:val="clear" w:fill="FFC000"/>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5.油烟净化设备需带臭氧除味</w:t>
      </w:r>
      <w:r>
        <w:rPr>
          <w:rFonts w:hint="eastAsia" w:ascii="仿宋_GB2312" w:hAnsi="仿宋_GB2312" w:eastAsia="仿宋_GB2312" w:cs="仿宋_GB2312"/>
          <w:color w:val="000000" w:themeColor="text1"/>
          <w:kern w:val="0"/>
          <w:sz w:val="32"/>
          <w:szCs w:val="32"/>
          <w:shd w:val="clear"/>
          <w:lang w:val="en-US" w:eastAsia="zh-CN"/>
          <w14:textFill>
            <w14:solidFill>
              <w14:schemeClr w14:val="tx1"/>
            </w14:solidFill>
          </w14:textFill>
        </w:rPr>
        <w:t>功能</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p>
    <w:p>
      <w:pPr>
        <w:shd w:val="clear"/>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6.设备所含电器元件符合CCC中国强制性产品认证，且设备符合电气安全标准（GB 4706.1），包括但不限于能够在过载、漏电时提供保护，拥有绝缘性能等。</w:t>
      </w:r>
    </w:p>
    <w:p>
      <w:pPr>
        <w:shd w:val="clear"/>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7.设备应符合消防安全标准：内部应设置符合产品耐火性专项测试标准（GB 15930）的防火阀；外壳及内部部分零件采用的防火阻燃材料均应满足等级测试与要求。</w:t>
      </w:r>
    </w:p>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8.设备应具备环境适应性与材料标准：油烟净化设备的主体结构及核心部件应选用耐腐蚀、耐高温的优质材料。如外壳采用304不锈钢材质，确保设备在高温、高湿度的油烟环境下长期安全可靠运行，不易生锈、变形；内部的集尘片、电极板等关键部件可采用铝或不锈钢材质，且材质厚实，防止在高浓度油烟和腐蚀性气体作用下发生损坏，影响净化效果。</w:t>
      </w:r>
    </w:p>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9.设备在运转时应平稳、无震动、无异常噪声，避免对生产车间及周边环境造成噪音污染。</w:t>
      </w:r>
    </w:p>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10.供应商负责设备的现场安装、调试工作，确保设备安装牢固、管道连接严密、电气线路铺设规范，且设备能够正常运行，达到各项技术指标要求。安装过程中应遵守企业的安全生产规定，采取必要的安全防护措施，确保安装人员和企业员工的人身安全。</w:t>
      </w:r>
    </w:p>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11.供应商应向采购人提供设备安装、调试过程中的相关技术资料，如安装图纸、调试报告、操作手册等。并对采购人的设备操作人员和维护人员进行免费培训，培训内容包括设备的操作方法、日常维护保养知识、常见故障排除方法等。</w:t>
      </w:r>
    </w:p>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12.设备的关键部件应采用模块化、易拆卸的结构设计，方便维护人员进行日常检查、清洗和更换。在设计上应充分考虑维护空间，确保维护人员能够方便地接近设备内部各个部件，进行操作。</w:t>
      </w:r>
      <w:bookmarkStart w:id="0" w:name="_GoBack"/>
      <w:bookmarkEnd w:id="0"/>
    </w:p>
    <w:p>
      <w:pPr>
        <w:shd w:val="clear"/>
        <w:spacing w:line="336" w:lineRule="auto"/>
        <w:ind w:firstLine="640" w:firstLineChars="200"/>
        <w:rPr>
          <w:rFonts w:hint="default" w:ascii="方正楷体_GBK" w:hAnsi="方正楷体_GBK" w:eastAsia="方正楷体_GBK" w:cs="方正楷体_GBK"/>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（二）排风机、风管需求</w:t>
      </w:r>
    </w:p>
    <w:p>
      <w:pPr>
        <w:pStyle w:val="10"/>
        <w:numPr>
          <w:ilvl w:val="0"/>
          <w:numId w:val="0"/>
        </w:numPr>
        <w:shd w:val="clea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i w:val="0"/>
          <w:color w:val="000000"/>
          <w:kern w:val="0"/>
          <w:sz w:val="32"/>
          <w:szCs w:val="32"/>
          <w:u w:val="none"/>
          <w:lang w:val="en-US" w:eastAsia="zh-CN" w:bidi="ar"/>
        </w:rPr>
        <w:t>油烟净化器（20000m3/h、220v）配套排风机、风管参数：</w:t>
      </w:r>
    </w:p>
    <w:tbl>
      <w:tblPr>
        <w:tblStyle w:val="9"/>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29"/>
        <w:gridCol w:w="1968"/>
        <w:gridCol w:w="2664"/>
        <w:gridCol w:w="430"/>
        <w:gridCol w:w="430"/>
        <w:gridCol w:w="2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60" w:hRule="atLeast"/>
        </w:trPr>
        <w:tc>
          <w:tcPr>
            <w:tcW w:w="4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参数</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排风机（离心式）</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20000m3/h、1000pa、7.5kw、380v</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4楼屋顶（员工厨房）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消声器</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900*500</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hd w:val="clea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镀锌风管</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63</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屋顶风管及厨房间部分风管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风机前后软接头</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尺寸按照风机进出风口定制</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hd w:val="clea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150℃防火阀</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sz w:val="20"/>
                <w:szCs w:val="20"/>
                <w:highlight w:val="none"/>
                <w:u w:val="none"/>
                <w:lang w:val="en-US"/>
              </w:rPr>
            </w:pPr>
            <w:r>
              <w:rPr>
                <w:rFonts w:hint="eastAsia" w:ascii="宋体" w:hAnsi="宋体" w:eastAsia="宋体" w:cs="宋体"/>
                <w:i w:val="0"/>
                <w:color w:val="000000"/>
                <w:kern w:val="0"/>
                <w:sz w:val="20"/>
                <w:szCs w:val="20"/>
                <w:highlight w:val="none"/>
                <w:u w:val="none"/>
                <w:lang w:val="en-US" w:eastAsia="zh-CN" w:bidi="ar"/>
              </w:rPr>
              <w:t>900mm*500mm</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hd w:val="clea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风机控制箱及电源</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7.5kw</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主电源由</w:t>
            </w:r>
            <w:r>
              <w:rPr>
                <w:rFonts w:hint="eastAsia" w:ascii="宋体" w:hAnsi="宋体" w:eastAsia="宋体" w:cs="宋体"/>
                <w:i w:val="0"/>
                <w:color w:val="000000"/>
                <w:kern w:val="0"/>
                <w:sz w:val="20"/>
                <w:szCs w:val="20"/>
                <w:highlight w:val="none"/>
                <w:u w:val="none"/>
                <w:shd w:val="clear"/>
                <w:lang w:val="en-US" w:eastAsia="zh-CN" w:bidi="ar"/>
              </w:rPr>
              <w:t>采购方</w:t>
            </w:r>
            <w:r>
              <w:rPr>
                <w:rFonts w:hint="eastAsia" w:ascii="宋体" w:hAnsi="宋体" w:eastAsia="宋体" w:cs="宋体"/>
                <w:i w:val="0"/>
                <w:color w:val="000000"/>
                <w:kern w:val="0"/>
                <w:sz w:val="20"/>
                <w:szCs w:val="20"/>
                <w:highlight w:val="none"/>
                <w:u w:val="none"/>
                <w:lang w:val="en-US" w:eastAsia="zh-CN" w:bidi="ar"/>
              </w:rPr>
              <w:t>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7</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槽钢底座</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个</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起帆电缆</w:t>
            </w:r>
          </w:p>
        </w:tc>
        <w:tc>
          <w:tcPr>
            <w:tcW w:w="26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YJV.3*4.2.2.5</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米</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p>
        </w:tc>
      </w:tr>
    </w:tbl>
    <w:p>
      <w:pPr>
        <w:pStyle w:val="10"/>
        <w:numPr>
          <w:ilvl w:val="0"/>
          <w:numId w:val="0"/>
        </w:numPr>
        <w:shd w:val="clear"/>
        <w:ind w:firstLine="640" w:firstLineChars="200"/>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仿宋_GB2312" w:hAnsi="仿宋_GB2312" w:eastAsia="仿宋_GB2312" w:cs="仿宋_GB2312"/>
          <w:i w:val="0"/>
          <w:color w:val="000000"/>
          <w:kern w:val="0"/>
          <w:sz w:val="32"/>
          <w:szCs w:val="32"/>
          <w:highlight w:val="none"/>
          <w:u w:val="none"/>
          <w:lang w:val="en-US" w:eastAsia="zh-CN" w:bidi="ar"/>
        </w:rPr>
        <w:t>油烟净化器（70000m3/h、220v）配套排风机、风管参数：</w:t>
      </w:r>
    </w:p>
    <w:tbl>
      <w:tblPr>
        <w:tblStyle w:val="9"/>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90"/>
        <w:gridCol w:w="2359"/>
        <w:gridCol w:w="2627"/>
        <w:gridCol w:w="390"/>
        <w:gridCol w:w="390"/>
        <w:gridCol w:w="2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序号</w:t>
            </w:r>
          </w:p>
        </w:tc>
        <w:tc>
          <w:tcPr>
            <w:tcW w:w="2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项目名称</w:t>
            </w:r>
          </w:p>
        </w:tc>
        <w:tc>
          <w:tcPr>
            <w:tcW w:w="2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参数</w:t>
            </w:r>
          </w:p>
        </w:tc>
        <w:tc>
          <w:tcPr>
            <w:tcW w:w="3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单位</w:t>
            </w:r>
          </w:p>
        </w:tc>
        <w:tc>
          <w:tcPr>
            <w:tcW w:w="3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数量</w:t>
            </w:r>
          </w:p>
        </w:tc>
        <w:tc>
          <w:tcPr>
            <w:tcW w:w="21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2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排风机（离心式）</w:t>
            </w:r>
          </w:p>
        </w:tc>
        <w:tc>
          <w:tcPr>
            <w:tcW w:w="2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70000m3/h、1500pa、37kw、380v</w:t>
            </w:r>
          </w:p>
        </w:tc>
        <w:tc>
          <w:tcPr>
            <w:tcW w:w="3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3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21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3楼屋顶（2楼厨房）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2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消声器</w:t>
            </w:r>
          </w:p>
        </w:tc>
        <w:tc>
          <w:tcPr>
            <w:tcW w:w="2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1500*1000</w:t>
            </w:r>
          </w:p>
        </w:tc>
        <w:tc>
          <w:tcPr>
            <w:tcW w:w="3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3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hd w:val="clea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2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镀锌风管</w:t>
            </w:r>
          </w:p>
        </w:tc>
        <w:tc>
          <w:tcPr>
            <w:tcW w:w="2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w:t>
            </w:r>
          </w:p>
        </w:tc>
        <w:tc>
          <w:tcPr>
            <w:tcW w:w="3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3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176</w:t>
            </w:r>
          </w:p>
        </w:tc>
        <w:tc>
          <w:tcPr>
            <w:tcW w:w="21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屋顶风管及厨房间部分风管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2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风机前后软接头</w:t>
            </w:r>
          </w:p>
        </w:tc>
        <w:tc>
          <w:tcPr>
            <w:tcW w:w="2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尺寸按照风机进出风口定制</w:t>
            </w:r>
          </w:p>
        </w:tc>
        <w:tc>
          <w:tcPr>
            <w:tcW w:w="3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3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hd w:val="clea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2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150℃防火阀</w:t>
            </w:r>
          </w:p>
        </w:tc>
        <w:tc>
          <w:tcPr>
            <w:tcW w:w="2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sz w:val="20"/>
                <w:szCs w:val="20"/>
                <w:highlight w:val="none"/>
                <w:u w:val="none"/>
                <w:lang w:val="en-US"/>
              </w:rPr>
            </w:pPr>
            <w:r>
              <w:rPr>
                <w:rFonts w:hint="eastAsia" w:ascii="宋体" w:hAnsi="宋体" w:eastAsia="宋体" w:cs="宋体"/>
                <w:i w:val="0"/>
                <w:color w:val="000000"/>
                <w:kern w:val="0"/>
                <w:sz w:val="20"/>
                <w:szCs w:val="20"/>
                <w:highlight w:val="none"/>
                <w:u w:val="none"/>
                <w:lang w:val="en-US" w:eastAsia="zh-CN" w:bidi="ar"/>
              </w:rPr>
              <w:t>1500mm*1000mm</w:t>
            </w:r>
          </w:p>
        </w:tc>
        <w:tc>
          <w:tcPr>
            <w:tcW w:w="3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3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21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hd w:val="clea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2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sz w:val="20"/>
                <w:szCs w:val="20"/>
                <w:highlight w:val="none"/>
                <w:u w:val="none"/>
                <w:lang w:val="en-US"/>
              </w:rPr>
            </w:pPr>
            <w:r>
              <w:rPr>
                <w:rFonts w:hint="eastAsia" w:ascii="宋体" w:hAnsi="宋体" w:eastAsia="宋体" w:cs="宋体"/>
                <w:i w:val="0"/>
                <w:color w:val="000000"/>
                <w:kern w:val="0"/>
                <w:sz w:val="20"/>
                <w:szCs w:val="20"/>
                <w:highlight w:val="none"/>
                <w:u w:val="none"/>
                <w:lang w:val="en-US" w:eastAsia="zh-CN" w:bidi="ar"/>
              </w:rPr>
              <w:t>风机控制箱</w:t>
            </w:r>
            <w:r>
              <w:rPr>
                <w:rFonts w:hint="eastAsia" w:ascii="宋体" w:hAnsi="宋体" w:eastAsia="宋体" w:cs="宋体"/>
                <w:i w:val="0"/>
                <w:color w:val="000000"/>
                <w:kern w:val="0"/>
                <w:sz w:val="20"/>
                <w:szCs w:val="20"/>
                <w:highlight w:val="none"/>
                <w:u w:val="none"/>
                <w:shd w:val="clear"/>
                <w:lang w:val="en-US" w:eastAsia="zh-CN" w:bidi="ar"/>
              </w:rPr>
              <w:t>（带变频）</w:t>
            </w:r>
            <w:r>
              <w:rPr>
                <w:rFonts w:hint="eastAsia" w:ascii="宋体" w:hAnsi="宋体" w:eastAsia="宋体" w:cs="宋体"/>
                <w:i w:val="0"/>
                <w:color w:val="000000"/>
                <w:kern w:val="0"/>
                <w:sz w:val="20"/>
                <w:szCs w:val="20"/>
                <w:highlight w:val="none"/>
                <w:u w:val="none"/>
                <w:lang w:val="en-US" w:eastAsia="zh-CN" w:bidi="ar"/>
              </w:rPr>
              <w:t>及电源</w:t>
            </w:r>
          </w:p>
        </w:tc>
        <w:tc>
          <w:tcPr>
            <w:tcW w:w="2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37kw</w:t>
            </w:r>
          </w:p>
        </w:tc>
        <w:tc>
          <w:tcPr>
            <w:tcW w:w="3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3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21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主电源由</w:t>
            </w:r>
            <w:r>
              <w:rPr>
                <w:rFonts w:hint="eastAsia" w:ascii="宋体" w:hAnsi="宋体" w:eastAsia="宋体" w:cs="宋体"/>
                <w:i w:val="0"/>
                <w:color w:val="000000"/>
                <w:kern w:val="0"/>
                <w:sz w:val="20"/>
                <w:szCs w:val="20"/>
                <w:highlight w:val="none"/>
                <w:u w:val="none"/>
                <w:shd w:val="clear"/>
                <w:lang w:val="en-US" w:eastAsia="zh-CN" w:bidi="ar"/>
              </w:rPr>
              <w:t>采购方</w:t>
            </w:r>
            <w:r>
              <w:rPr>
                <w:rFonts w:hint="eastAsia" w:ascii="宋体" w:hAnsi="宋体" w:eastAsia="宋体" w:cs="宋体"/>
                <w:i w:val="0"/>
                <w:color w:val="000000"/>
                <w:kern w:val="0"/>
                <w:sz w:val="20"/>
                <w:szCs w:val="20"/>
                <w:highlight w:val="none"/>
                <w:u w:val="none"/>
                <w:lang w:val="en-US" w:eastAsia="zh-CN" w:bidi="ar"/>
              </w:rPr>
              <w:t>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7</w:t>
            </w:r>
          </w:p>
        </w:tc>
        <w:tc>
          <w:tcPr>
            <w:tcW w:w="2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槽钢底座</w:t>
            </w:r>
          </w:p>
        </w:tc>
        <w:tc>
          <w:tcPr>
            <w:tcW w:w="2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个</w:t>
            </w:r>
          </w:p>
        </w:tc>
        <w:tc>
          <w:tcPr>
            <w:tcW w:w="3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w:t>
            </w:r>
          </w:p>
        </w:tc>
        <w:tc>
          <w:tcPr>
            <w:tcW w:w="21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8</w:t>
            </w:r>
          </w:p>
        </w:tc>
        <w:tc>
          <w:tcPr>
            <w:tcW w:w="2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废旧风管等施工垃圾清运处理（不含风机、油烟净化器）</w:t>
            </w:r>
          </w:p>
        </w:tc>
        <w:tc>
          <w:tcPr>
            <w:tcW w:w="2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3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项</w:t>
            </w:r>
          </w:p>
        </w:tc>
        <w:tc>
          <w:tcPr>
            <w:tcW w:w="3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w:t>
            </w:r>
          </w:p>
        </w:tc>
        <w:tc>
          <w:tcPr>
            <w:tcW w:w="21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施工垃圾均由施工方负责清理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2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起帆电缆</w:t>
            </w:r>
          </w:p>
        </w:tc>
        <w:tc>
          <w:tcPr>
            <w:tcW w:w="26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3*16.2*10</w:t>
            </w:r>
          </w:p>
        </w:tc>
        <w:tc>
          <w:tcPr>
            <w:tcW w:w="3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米</w:t>
            </w:r>
          </w:p>
        </w:tc>
        <w:tc>
          <w:tcPr>
            <w:tcW w:w="3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w:t>
            </w:r>
          </w:p>
        </w:tc>
        <w:tc>
          <w:tcPr>
            <w:tcW w:w="21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0"/>
                <w:szCs w:val="20"/>
                <w:highlight w:val="none"/>
                <w:u w:val="none"/>
                <w:lang w:val="en-US" w:eastAsia="zh-CN" w:bidi="ar"/>
              </w:rPr>
            </w:pPr>
          </w:p>
        </w:tc>
      </w:tr>
    </w:tbl>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shd w:val="clear"/>
          <w:lang w:val="en-US" w:eastAsia="zh-CN"/>
          <w14:textFill>
            <w14:solidFill>
              <w14:schemeClr w14:val="tx1"/>
            </w14:solidFill>
          </w14:textFill>
        </w:rPr>
        <w:t>（三）注意事项</w:t>
      </w: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w:t>
      </w:r>
    </w:p>
    <w:p>
      <w:pPr>
        <w:pStyle w:val="10"/>
        <w:numPr>
          <w:ilvl w:val="0"/>
          <w:numId w:val="0"/>
        </w:numPr>
        <w:shd w:val="clear"/>
        <w:ind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rPr>
        <w:t>根据生产需要避开生产</w:t>
      </w:r>
      <w:r>
        <w:rPr>
          <w:rFonts w:hint="eastAsia" w:ascii="仿宋_GB2312" w:hAnsi="仿宋_GB2312" w:eastAsia="仿宋_GB2312" w:cs="仿宋_GB2312"/>
          <w:color w:val="auto"/>
          <w:sz w:val="32"/>
          <w:szCs w:val="32"/>
          <w:lang w:val="en-US" w:eastAsia="zh-CN"/>
        </w:rPr>
        <w:t>施工区域做好防护</w:t>
      </w:r>
      <w:r>
        <w:rPr>
          <w:rFonts w:hint="eastAsia" w:ascii="仿宋_GB2312" w:hAnsi="仿宋_GB2312" w:eastAsia="仿宋_GB2312" w:cs="仿宋_GB2312"/>
          <w:color w:val="auto"/>
          <w:sz w:val="32"/>
          <w:szCs w:val="32"/>
          <w:lang w:val="en-US"/>
        </w:rPr>
        <w:t>分段进行。</w:t>
      </w:r>
    </w:p>
    <w:p>
      <w:pPr>
        <w:pStyle w:val="10"/>
        <w:numPr>
          <w:ilvl w:val="0"/>
          <w:numId w:val="0"/>
        </w:numPr>
        <w:shd w:val="clear"/>
        <w:ind w:left="638" w:leftChars="304" w:firstLine="0" w:firstLineChars="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rPr>
        <w:t>施工人员具备《焊接操作证书》《高空作业证书》。</w:t>
      </w:r>
    </w:p>
    <w:p>
      <w:pPr>
        <w:pStyle w:val="10"/>
        <w:numPr>
          <w:ilvl w:val="0"/>
          <w:numId w:val="0"/>
        </w:numPr>
        <w:shd w:val="clear"/>
        <w:ind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3.本项目金额为闭口包干价，包含所有人工、材料、工具（如：吊车）等。</w:t>
      </w:r>
    </w:p>
    <w:p>
      <w:pPr>
        <w:pStyle w:val="10"/>
        <w:numPr>
          <w:ilvl w:val="0"/>
          <w:numId w:val="0"/>
        </w:numPr>
        <w:shd w:val="clear"/>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五、供应商资质</w:t>
      </w:r>
    </w:p>
    <w:p>
      <w:pPr>
        <w:pStyle w:val="10"/>
        <w:numPr>
          <w:ilvl w:val="0"/>
          <w:numId w:val="0"/>
        </w:numPr>
        <w:shd w:val="clea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具有有效期内的营业执照及相应的经营范围：净化设备、环保设备销售</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机电设备安装维修，建筑工程施工等</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p>
    <w:p>
      <w:pPr>
        <w:shd w:val="clear"/>
        <w:rPr>
          <w:rFonts w:hint="default" w:ascii="楷体_GB2312" w:hAnsi="微软雅黑" w:eastAsia="楷体_GB2312" w:cs="微软雅黑"/>
          <w:color w:val="000000" w:themeColor="text1"/>
          <w:kern w:val="0"/>
          <w:sz w:val="32"/>
          <w:szCs w:val="32"/>
          <w:lang w:val="en-US" w:eastAsia="zh-CN"/>
          <w14:textFill>
            <w14:solidFill>
              <w14:schemeClr w14:val="tx1"/>
            </w14:solidFill>
          </w14:textFill>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49416598"/>
                          </w:sdtPr>
                          <w:sdtEndPr>
                            <w:rPr>
                              <w:rFonts w:ascii="宋体" w:hAnsi="宋体" w:eastAsia="宋体"/>
                              <w:sz w:val="28"/>
                              <w:szCs w:val="28"/>
                            </w:rPr>
                          </w:sdtEndPr>
                          <w:sdtContent>
                            <w:p>
                              <w:pPr>
                                <w:pStyle w:val="5"/>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349416598"/>
                    </w:sdtPr>
                    <w:sdtEndPr>
                      <w:rPr>
                        <w:rFonts w:ascii="宋体" w:hAnsi="宋体" w:eastAsia="宋体"/>
                        <w:sz w:val="28"/>
                        <w:szCs w:val="28"/>
                      </w:rPr>
                    </w:sdtEndPr>
                    <w:sdtContent>
                      <w:p>
                        <w:pPr>
                          <w:pStyle w:val="5"/>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33984556"/>
                          </w:sdtPr>
                          <w:sdtEndPr>
                            <w:rPr>
                              <w:rFonts w:ascii="宋体" w:hAnsi="宋体" w:eastAsia="宋体"/>
                              <w:sz w:val="28"/>
                              <w:szCs w:val="28"/>
                            </w:rPr>
                          </w:sdtEndPr>
                          <w:sdtContent>
                            <w:p>
                              <w:pPr>
                                <w:pStyle w:val="5"/>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1633984556"/>
                    </w:sdtPr>
                    <w:sdtEndPr>
                      <w:rPr>
                        <w:rFonts w:ascii="宋体" w:hAnsi="宋体" w:eastAsia="宋体"/>
                        <w:sz w:val="28"/>
                        <w:szCs w:val="28"/>
                      </w:rPr>
                    </w:sdtEndPr>
                    <w:sdtContent>
                      <w:p>
                        <w:pPr>
                          <w:pStyle w:val="5"/>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2548C"/>
    <w:multiLevelType w:val="singleLevel"/>
    <w:tmpl w:val="3C82548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FA"/>
    <w:rsid w:val="000201D4"/>
    <w:rsid w:val="000550E3"/>
    <w:rsid w:val="00061DD7"/>
    <w:rsid w:val="00073587"/>
    <w:rsid w:val="000849F7"/>
    <w:rsid w:val="00084E14"/>
    <w:rsid w:val="000C170A"/>
    <w:rsid w:val="000E2B02"/>
    <w:rsid w:val="0013221E"/>
    <w:rsid w:val="001348E1"/>
    <w:rsid w:val="00171287"/>
    <w:rsid w:val="00180EAA"/>
    <w:rsid w:val="001C5795"/>
    <w:rsid w:val="001D0FAB"/>
    <w:rsid w:val="00201FAD"/>
    <w:rsid w:val="00214170"/>
    <w:rsid w:val="00223D20"/>
    <w:rsid w:val="00226EAE"/>
    <w:rsid w:val="002327A9"/>
    <w:rsid w:val="002B2046"/>
    <w:rsid w:val="002E107B"/>
    <w:rsid w:val="00325204"/>
    <w:rsid w:val="00362239"/>
    <w:rsid w:val="00371A25"/>
    <w:rsid w:val="003D05AB"/>
    <w:rsid w:val="003D1E41"/>
    <w:rsid w:val="003F31BE"/>
    <w:rsid w:val="00400996"/>
    <w:rsid w:val="00406426"/>
    <w:rsid w:val="00406574"/>
    <w:rsid w:val="00407C9D"/>
    <w:rsid w:val="00407CA1"/>
    <w:rsid w:val="00436531"/>
    <w:rsid w:val="004614B0"/>
    <w:rsid w:val="004A5B5D"/>
    <w:rsid w:val="004C6A98"/>
    <w:rsid w:val="00514B39"/>
    <w:rsid w:val="00551F28"/>
    <w:rsid w:val="0056617B"/>
    <w:rsid w:val="005709EB"/>
    <w:rsid w:val="00594C13"/>
    <w:rsid w:val="005B08D1"/>
    <w:rsid w:val="005C3C14"/>
    <w:rsid w:val="006030BF"/>
    <w:rsid w:val="0062742F"/>
    <w:rsid w:val="006913D3"/>
    <w:rsid w:val="006C0293"/>
    <w:rsid w:val="006E092D"/>
    <w:rsid w:val="0070497D"/>
    <w:rsid w:val="007106B6"/>
    <w:rsid w:val="00724476"/>
    <w:rsid w:val="00731B46"/>
    <w:rsid w:val="00736CD6"/>
    <w:rsid w:val="00747086"/>
    <w:rsid w:val="00762A19"/>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B3BE8"/>
    <w:rsid w:val="00AF7503"/>
    <w:rsid w:val="00B72329"/>
    <w:rsid w:val="00B747B2"/>
    <w:rsid w:val="00B863E1"/>
    <w:rsid w:val="00BF7988"/>
    <w:rsid w:val="00C21429"/>
    <w:rsid w:val="00C6029A"/>
    <w:rsid w:val="00CA3B76"/>
    <w:rsid w:val="00CC1EA5"/>
    <w:rsid w:val="00CC4E45"/>
    <w:rsid w:val="00CD6B6B"/>
    <w:rsid w:val="00CE6F2E"/>
    <w:rsid w:val="00D07988"/>
    <w:rsid w:val="00D2321C"/>
    <w:rsid w:val="00D3022D"/>
    <w:rsid w:val="00D477D1"/>
    <w:rsid w:val="00D75620"/>
    <w:rsid w:val="00DE258D"/>
    <w:rsid w:val="00E0025A"/>
    <w:rsid w:val="00E17ADC"/>
    <w:rsid w:val="00E5322E"/>
    <w:rsid w:val="00E96F5B"/>
    <w:rsid w:val="00EC4A37"/>
    <w:rsid w:val="00EC621F"/>
    <w:rsid w:val="00ED5206"/>
    <w:rsid w:val="00F61A1A"/>
    <w:rsid w:val="00F9084B"/>
    <w:rsid w:val="025825F8"/>
    <w:rsid w:val="042F2386"/>
    <w:rsid w:val="056E4E59"/>
    <w:rsid w:val="089D5043"/>
    <w:rsid w:val="0B866B9F"/>
    <w:rsid w:val="0C4B0339"/>
    <w:rsid w:val="0DA63128"/>
    <w:rsid w:val="0F415EE5"/>
    <w:rsid w:val="0F533CD8"/>
    <w:rsid w:val="0FFD2F59"/>
    <w:rsid w:val="108549AD"/>
    <w:rsid w:val="13206FAF"/>
    <w:rsid w:val="13634A5D"/>
    <w:rsid w:val="13C62C7E"/>
    <w:rsid w:val="14947A2E"/>
    <w:rsid w:val="15907031"/>
    <w:rsid w:val="16DF4F46"/>
    <w:rsid w:val="1772319D"/>
    <w:rsid w:val="177A4FFF"/>
    <w:rsid w:val="178640EE"/>
    <w:rsid w:val="17B71A2C"/>
    <w:rsid w:val="189F6E42"/>
    <w:rsid w:val="1967209B"/>
    <w:rsid w:val="1B2E7C65"/>
    <w:rsid w:val="1F686B61"/>
    <w:rsid w:val="1F6A320D"/>
    <w:rsid w:val="20D35E8A"/>
    <w:rsid w:val="2414056B"/>
    <w:rsid w:val="242A0CDA"/>
    <w:rsid w:val="26291F75"/>
    <w:rsid w:val="269325C5"/>
    <w:rsid w:val="294A2F41"/>
    <w:rsid w:val="2A140127"/>
    <w:rsid w:val="2A5F77FB"/>
    <w:rsid w:val="2CB54F3A"/>
    <w:rsid w:val="2CDE59F0"/>
    <w:rsid w:val="2D8C2B03"/>
    <w:rsid w:val="2EA730FD"/>
    <w:rsid w:val="32FC19DD"/>
    <w:rsid w:val="343A315A"/>
    <w:rsid w:val="35D22C22"/>
    <w:rsid w:val="36A138D8"/>
    <w:rsid w:val="36B14563"/>
    <w:rsid w:val="3782762A"/>
    <w:rsid w:val="37B0491D"/>
    <w:rsid w:val="37CB28E4"/>
    <w:rsid w:val="39B64C89"/>
    <w:rsid w:val="3A044AEF"/>
    <w:rsid w:val="3AB10B37"/>
    <w:rsid w:val="3B797E0D"/>
    <w:rsid w:val="3E491342"/>
    <w:rsid w:val="3ED73F6E"/>
    <w:rsid w:val="429865C1"/>
    <w:rsid w:val="445B149F"/>
    <w:rsid w:val="46434F91"/>
    <w:rsid w:val="483F0F14"/>
    <w:rsid w:val="4C2B5E1D"/>
    <w:rsid w:val="4C721958"/>
    <w:rsid w:val="4E9A2F4D"/>
    <w:rsid w:val="4F1D1D35"/>
    <w:rsid w:val="50910B5F"/>
    <w:rsid w:val="50E525A6"/>
    <w:rsid w:val="518F525B"/>
    <w:rsid w:val="530B1B67"/>
    <w:rsid w:val="532A1AE4"/>
    <w:rsid w:val="53D413D5"/>
    <w:rsid w:val="541F77B5"/>
    <w:rsid w:val="54F61935"/>
    <w:rsid w:val="55A33EB3"/>
    <w:rsid w:val="56CE73DA"/>
    <w:rsid w:val="5A507EBB"/>
    <w:rsid w:val="5B1623BA"/>
    <w:rsid w:val="5B5F306E"/>
    <w:rsid w:val="5B745B7C"/>
    <w:rsid w:val="5CBE7115"/>
    <w:rsid w:val="5D0A2759"/>
    <w:rsid w:val="5D78026D"/>
    <w:rsid w:val="5DFD1613"/>
    <w:rsid w:val="5EBA6418"/>
    <w:rsid w:val="60AB1ED5"/>
    <w:rsid w:val="60F65097"/>
    <w:rsid w:val="61052666"/>
    <w:rsid w:val="62386692"/>
    <w:rsid w:val="62DD1672"/>
    <w:rsid w:val="63326DAF"/>
    <w:rsid w:val="64224176"/>
    <w:rsid w:val="66D87C6D"/>
    <w:rsid w:val="69D27079"/>
    <w:rsid w:val="6B287C92"/>
    <w:rsid w:val="6CDA64AB"/>
    <w:rsid w:val="6E810E51"/>
    <w:rsid w:val="6F2532C3"/>
    <w:rsid w:val="6FF7323D"/>
    <w:rsid w:val="70636EBE"/>
    <w:rsid w:val="70677B83"/>
    <w:rsid w:val="70BC4776"/>
    <w:rsid w:val="711E22A1"/>
    <w:rsid w:val="71D04734"/>
    <w:rsid w:val="73E543AE"/>
    <w:rsid w:val="74050126"/>
    <w:rsid w:val="762A293C"/>
    <w:rsid w:val="762C272A"/>
    <w:rsid w:val="764833E5"/>
    <w:rsid w:val="775022C2"/>
    <w:rsid w:val="78E70669"/>
    <w:rsid w:val="7A666D65"/>
    <w:rsid w:val="7B4A6FF9"/>
    <w:rsid w:val="7C4A031C"/>
    <w:rsid w:val="7D560F50"/>
    <w:rsid w:val="7F531DC3"/>
    <w:rsid w:val="7FC465AF"/>
    <w:rsid w:val="7FE555F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qFormat/>
    <w:uiPriority w:val="0"/>
    <w:pPr>
      <w:spacing w:after="120"/>
    </w:pPr>
    <w:rPr>
      <w:rFonts w:ascii="Calibri" w:hAnsi="Calibri" w:eastAsia="宋体"/>
      <w:sz w:val="24"/>
      <w:szCs w:val="22"/>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customStyle="1" w:styleId="10">
    <w:name w:val="List Paragraph"/>
    <w:basedOn w:val="1"/>
    <w:qFormat/>
    <w:uiPriority w:val="34"/>
    <w:pPr>
      <w:ind w:firstLine="420" w:firstLineChars="200"/>
    </w:pPr>
    <w:rPr>
      <w:rFonts w:ascii="等线" w:hAnsi="等线" w:eastAsia="等线" w:cs="Times New Roman"/>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character" w:customStyle="1" w:styleId="13">
    <w:name w:val="font01"/>
    <w:basedOn w:val="8"/>
    <w:qFormat/>
    <w:uiPriority w:val="0"/>
    <w:rPr>
      <w:rFonts w:hint="eastAsia" w:ascii="仿宋_GB2312" w:eastAsia="仿宋_GB2312" w:cs="仿宋_GB2312"/>
      <w:color w:val="000000"/>
      <w:sz w:val="24"/>
      <w:szCs w:val="24"/>
      <w:u w:val="none"/>
    </w:rPr>
  </w:style>
  <w:style w:type="paragraph" w:customStyle="1" w:styleId="14">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1728</Words>
  <Characters>1817</Characters>
  <Lines>11</Lines>
  <Paragraphs>3</Paragraphs>
  <ScaleCrop>false</ScaleCrop>
  <LinksUpToDate>false</LinksUpToDate>
  <CharactersWithSpaces>1823</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葛子靖</cp:lastModifiedBy>
  <cp:lastPrinted>2024-06-21T05:46:00Z</cp:lastPrinted>
  <dcterms:modified xsi:type="dcterms:W3CDTF">2025-09-29T01:59:02Z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A2C8DCFF8F524A7A9DDC3D7BFE8F894C_13</vt:lpwstr>
  </property>
  <property fmtid="{D5CDD505-2E9C-101B-9397-08002B2CF9AE}" pid="4" name="KSOTemplateDocerSaveRecord">
    <vt:lpwstr>eyJoZGlkIjoiZmNiOTVhZDEzNzRmY2I5ZWU5MTNmNjk1M2E2M2UxOGEiLCJ1c2VySWQiOiI1NjMzNzQ1MzkifQ==</vt:lpwstr>
  </property>
</Properties>
</file>