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楷体_GB2312" w:hAnsi="楷体_GB2312" w:eastAsia="楷体_GB2312" w:cs="楷体_GB2312"/>
          <w:b/>
          <w:bCs w:val="0"/>
          <w:sz w:val="36"/>
          <w:szCs w:val="36"/>
          <w:lang w:eastAsia="zh-CN"/>
        </w:rPr>
      </w:pPr>
      <w:bookmarkStart w:id="0" w:name="_Toc25253"/>
      <w:bookmarkStart w:id="1" w:name="_Toc8940"/>
      <w:bookmarkStart w:id="2" w:name="_Toc7896"/>
      <w:bookmarkStart w:id="3" w:name="_Toc8164"/>
      <w:bookmarkStart w:id="4" w:name="_Toc5539"/>
      <w:bookmarkStart w:id="5" w:name="_Toc29623"/>
      <w:bookmarkStart w:id="6" w:name="_Toc5907"/>
      <w:bookmarkStart w:id="7" w:name="_Toc30046"/>
      <w:bookmarkStart w:id="8" w:name="_Toc17489"/>
      <w:r>
        <w:rPr>
          <w:rFonts w:hint="eastAsia" w:ascii="楷体_GB2312" w:hAnsi="楷体_GB2312" w:eastAsia="楷体_GB2312" w:cs="楷体_GB2312"/>
          <w:b/>
          <w:bCs w:val="0"/>
          <w:sz w:val="36"/>
          <w:szCs w:val="36"/>
          <w:lang w:eastAsia="zh-CN"/>
        </w:rPr>
        <w:t>供应商不良行为分类及处理措施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3"/>
        <w:rPr>
          <w:rFonts w:hint="eastAsia"/>
          <w:lang w:eastAsia="zh-CN"/>
        </w:rPr>
      </w:pPr>
    </w:p>
    <w:p>
      <w:pPr>
        <w:spacing w:line="336" w:lineRule="auto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28"/>
          <w:lang w:val="en-US" w:eastAsia="zh-CN" w:bidi="ar-SA"/>
        </w:rPr>
        <w:t>根据供应商不良行为对生产运营、采购活动、公司形象等造成的负面影响和经济损失程度，将不良行为分为一级不良行为、二级不良行为和三级不良行为。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一级不良行为界定范围：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1.在采购活动中供应商相互串通或者与采购人及采购相关方串通，妨碍其他供应商竞争，对采购项目造成重大影响的行为，包括但不限于：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（1）相互协商报价、技术方案等实质性内容，不同供应商的响应文件异常一致或者报价呈规律性差异；</w:t>
      </w:r>
    </w:p>
    <w:p>
      <w:pPr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（2）不同供应商的响应文件由同一单位或者个人编制，不同供应商的响应文件载明的联系人员为同一人，不同供应商委托同一单位或者个人办理相关事宜，不同供应商的保证金从同一单位或者个人的账户转出；</w:t>
      </w:r>
    </w:p>
    <w:p>
      <w:pPr>
        <w:spacing w:line="336" w:lineRule="auto"/>
        <w:ind w:firstLine="640" w:firstLineChars="200"/>
        <w:rPr>
          <w:rFonts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（3）不同供应商的响应文件相互混装；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（4）约定中选人，约定部分供应商放弃参加采购或者中选；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（5）属于同一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eastAsia="zh-CN"/>
        </w:rPr>
        <w:t>中航集团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、协会、商会等组织成员的供应商按照该组织要求协同参与采购项目；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（6）为谋取中选或者排斥特定供应商而采取联合行动；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（7）非法获知标底或评审委员会成员信息；</w:t>
      </w:r>
    </w:p>
    <w:p>
      <w:pPr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（8）其他视为供应商串通的情况。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2.对采购人或其他供应商进行恶意诋毁、恶意投诉、威胁、欺骗等行为，对采购项目造成重大影响的；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3.供应商恶意扰乱谈判现场等影响采购活动有序进行等行为，对采购项目造成重大影响的；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4.供应商接到中选（成交、中标）通知书后，无正当理由拒绝签署合同，或单方面要求放弃中选（成交、中标）资格，或不按响应文件及澄清内容承诺签订合同,对采购项目造成重大影响的；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对于供应商在与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eastAsia="zh-CN"/>
        </w:rPr>
        <w:t>中航集团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各级成员企业投标及履行合同过程中，因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eastAsia="zh-CN"/>
        </w:rPr>
        <w:t>中航集团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人员索贿而行贿的，所送钱物价值在2 万元（含）以上不足3 万元的；或主动行贿，所送钱物价值在1万元（含）以上不足3万元的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eastAsia="zh-CN"/>
        </w:rPr>
        <w:t>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.其他经公司认定为一级不良行为的情况。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被列入一级不良行为的供应商，自列入之日起禁止参与公司范围内所有采购项目5年，供应商在参加采购期间发生不良行为的，应取消参与本次采购项目的资格及中选（成交、中标）资格。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  <w:t>（二）二级不良行为界定范围：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在采购活动中供应商故意以他人名义参加采购，或供应商资格审查、准入等资质材料经核实弄虚作假的，包括但不限于使用伪造变造的许可证件，提供虚假的财务状况或者业绩，提供虚假的项目负责人或者主要技术人员简历、劳动关系证明，提供虚假的信用状况以及与检测单位串通伪造检测结果等行为，对采购项目造成严重影响的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2.供应商响应文件内容经查实弄虚作假的，或者恶意修改采购文件明确列明的技术参数并进行响应，对采购项目造成严重影响的；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3.供应商提供虚假材料或者以非法手段获得证明材料进行恶意投诉、恶意质疑，对采购项目造成严重影响的；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对于供应商在与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eastAsia="zh-CN"/>
        </w:rPr>
        <w:t>中航集团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各级成员企业投标及履行合同过程中，因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eastAsia="zh-CN"/>
        </w:rPr>
        <w:t>中航集团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人员索贿而行贿的，所送钱物价值在1万元（含）以上不足2万元的；或主动行贿，所送钱物价值在5000元（含）以上不足1万元的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eastAsia="zh-CN"/>
        </w:rPr>
        <w:t>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.其他经公司认定为二级不良行为的情况。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被列入二级不良行为的供应商，自列入之日起禁止参与公司范围内所有采购项目3年，供应商在参加采购期间发生不良行为的，应取消参与本次采购项目的资格及中选（成交、中标）资格。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  <w:t>（三）三级不良行为界定范围：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1.供应商参与采购项目时，一年内2次（含）以上，递交响应文件后，无正当理由放弃参与采购项目、无正当理由放弃应标或谈判等，对采购项目造成一定影响的，其中采购实施单位依据采购文件要求扣除（不退还）投标/谈判保证金的情形除外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2.供应商收到中选（成交、中标）通知书后，因自身原因未能按时签订合同，给公司正常业务造成一定影响的，其中采购实施单位（合同承办单位）依据合同要求已扣除履约保证金的情形除外；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3.因供应商责任引发不稳定事件，或因不良事件经新闻媒介曝光，给公司带来一定负面影响的；</w:t>
      </w:r>
      <w:bookmarkStart w:id="9" w:name="_GoBack"/>
      <w:bookmarkEnd w:id="9"/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  <w:t>4.对于供应商在与中航集团各级成员企业投标及履行合同过程中，因中航集团人员索贿而行贿的，所送钱物价值不足1万元的；或主动行贿所送钱物价值不足5000元的；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</w:rPr>
        <w:t>.其他经公司认定为三级不良行为的情况。</w:t>
      </w:r>
    </w:p>
    <w:p>
      <w:pPr>
        <w:spacing w:line="336" w:lineRule="auto"/>
        <w:ind w:firstLine="640" w:firstLineChars="200"/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  <w:t>被列入三级不良行为的供应商，自列入之日起禁止参与本单位范围内采购项目1年，供应商在参加采购期间发生不良行为的，应取消参与本次采购项目的资格及中选（成交、中标）资格。</w:t>
      </w:r>
    </w:p>
    <w:p>
      <w:pPr>
        <w:spacing w:line="336" w:lineRule="auto"/>
        <w:rPr>
          <w:rFonts w:hint="eastAsia" w:ascii="仿宋_GB2312" w:hAnsi="Times New Roman" w:eastAsia="仿宋_GB2312" w:cs="仿宋_GB2312"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77"/>
    <w:rsid w:val="0BFE55CF"/>
    <w:rsid w:val="18BB77A2"/>
    <w:rsid w:val="1E890B1F"/>
    <w:rsid w:val="37F647CD"/>
    <w:rsid w:val="3A251CCF"/>
    <w:rsid w:val="401F5819"/>
    <w:rsid w:val="415F223E"/>
    <w:rsid w:val="42FA6857"/>
    <w:rsid w:val="5AB36E3C"/>
    <w:rsid w:val="71E15598"/>
    <w:rsid w:val="74E00462"/>
    <w:rsid w:val="78C06AC6"/>
    <w:rsid w:val="79482CF2"/>
    <w:rsid w:val="7CCE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line="360" w:lineRule="auto"/>
      <w:ind w:left="4234" w:hanging="4234"/>
      <w:jc w:val="left"/>
      <w:outlineLvl w:val="1"/>
    </w:pPr>
    <w:rPr>
      <w:rFonts w:ascii="Arial" w:hAnsi="Arial" w:eastAsia="华文中宋"/>
      <w:bCs/>
      <w:kern w:val="44"/>
      <w:sz w:val="32"/>
      <w:szCs w:val="32"/>
    </w:rPr>
  </w:style>
  <w:style w:type="paragraph" w:styleId="4">
    <w:name w:val="heading 3"/>
    <w:basedOn w:val="1"/>
    <w:next w:val="3"/>
    <w:qFormat/>
    <w:uiPriority w:val="0"/>
    <w:pPr>
      <w:keepNext/>
      <w:keepLines/>
      <w:spacing w:line="360" w:lineRule="auto"/>
      <w:outlineLvl w:val="2"/>
    </w:pPr>
    <w:rPr>
      <w:rFonts w:ascii="仿宋_GB2312" w:hAnsi="Arial" w:eastAsia="仿宋_GB2312"/>
      <w:bCs/>
      <w:kern w:val="44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 首行缩进:  2字符"/>
    <w:basedOn w:val="1"/>
    <w:qFormat/>
    <w:uiPriority w:val="0"/>
    <w:pPr>
      <w:spacing w:line="360" w:lineRule="auto"/>
      <w:ind w:firstLine="480" w:firstLineChars="200"/>
    </w:pPr>
    <w:rPr>
      <w:rFonts w:ascii="仿宋_GB2312" w:hAnsi="仿宋_GB2312" w:eastAsia="仿宋_GB2312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徐子稳</cp:lastModifiedBy>
  <dcterms:modified xsi:type="dcterms:W3CDTF">2024-05-21T00:26:44Z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