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常年法律顾问项目采购</w:t>
      </w:r>
      <w:r>
        <w:rPr>
          <w:rFonts w:hint="eastAsia" w:ascii="方正小标宋简体" w:hAnsi="方正小标宋简体" w:eastAsia="方正小标宋简体" w:cs="方正小标宋简体"/>
          <w:kern w:val="0"/>
          <w:sz w:val="44"/>
          <w:szCs w:val="44"/>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一、项目概况</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项目名称：常年法律顾问</w:t>
      </w:r>
      <w:r>
        <w:rPr>
          <w:rFonts w:hint="eastAsia" w:ascii="仿宋_GB2312" w:hAnsi="仿宋_GB2312" w:eastAsia="仿宋_GB2312" w:cs="仿宋_GB2312"/>
          <w:kern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、采购计划批复情况</w:t>
      </w:r>
    </w:p>
    <w:p>
      <w:pPr>
        <w:spacing w:line="336"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本项目已取得的中翼航空投资有限公司对上海航食《关于202</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年采购计划变更的请示》的批复。</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w:t>
      </w:r>
      <w:bookmarkStart w:id="0" w:name="_GoBack"/>
      <w:bookmarkEnd w:id="0"/>
      <w:r>
        <w:rPr>
          <w:rFonts w:hint="eastAsia" w:ascii="黑体" w:hAnsi="黑体" w:eastAsia="黑体" w:cs="黑体"/>
          <w:b w:val="0"/>
          <w:bCs w:val="0"/>
          <w:kern w:val="0"/>
          <w:sz w:val="32"/>
          <w:szCs w:val="32"/>
          <w:lang w:val="en-US" w:eastAsia="zh-CN"/>
        </w:rPr>
        <w:t>、</w:t>
      </w:r>
      <w:r>
        <w:rPr>
          <w:rFonts w:hint="eastAsia" w:ascii="黑体" w:hAnsi="黑体" w:eastAsia="黑体" w:cs="黑体"/>
          <w:b w:val="0"/>
          <w:bCs w:val="0"/>
          <w:kern w:val="0"/>
          <w:sz w:val="32"/>
          <w:szCs w:val="32"/>
        </w:rPr>
        <w:t>采购需求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kern w:val="0"/>
          <w:sz w:val="32"/>
          <w:szCs w:val="32"/>
        </w:rPr>
      </w:pPr>
      <w:r>
        <w:rPr>
          <w:rFonts w:hint="eastAsia" w:ascii="微软雅黑" w:hAnsi="微软雅黑" w:eastAsia="微软雅黑" w:cs="微软雅黑"/>
          <w:b/>
          <w:bCs/>
          <w:kern w:val="0"/>
          <w:sz w:val="24"/>
          <w:szCs w:val="24"/>
        </w:rPr>
        <w:t xml:space="preserve">   </w:t>
      </w:r>
      <w:r>
        <w:rPr>
          <w:rFonts w:hint="eastAsia" w:ascii="仿宋_GB2312" w:hAnsi="仿宋_GB2312" w:eastAsia="仿宋_GB2312" w:cs="仿宋_GB2312"/>
          <w:kern w:val="0"/>
          <w:sz w:val="32"/>
          <w:szCs w:val="32"/>
        </w:rPr>
        <w:t>根据标采规程要求，原则上应包含以下内容：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rPr>
        <w:t>(一）法律服务范围</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_GB2312" w:hAnsi="仿宋_GB2312" w:eastAsia="仿宋_GB2312" w:cs="仿宋_GB2312"/>
          <w:kern w:val="0"/>
          <w:sz w:val="32"/>
          <w:szCs w:val="32"/>
        </w:rPr>
      </w:pPr>
      <w:r>
        <w:rPr>
          <w:rFonts w:hint="eastAsia" w:ascii="微软雅黑" w:hAnsi="微软雅黑" w:eastAsia="微软雅黑" w:cs="微软雅黑"/>
          <w:kern w:val="0"/>
          <w:sz w:val="24"/>
          <w:szCs w:val="24"/>
        </w:rPr>
        <w:t xml:space="preserve">   </w:t>
      </w:r>
      <w:r>
        <w:rPr>
          <w:rFonts w:hint="eastAsia" w:ascii="仿宋_GB2312" w:hAnsi="仿宋_GB2312" w:eastAsia="仿宋_GB2312" w:cs="仿宋_GB2312"/>
          <w:kern w:val="0"/>
          <w:sz w:val="32"/>
          <w:szCs w:val="32"/>
        </w:rPr>
        <w:t>为上海中航航空食品有限公司（以下简称“公司”）提供以下中英文法律服务，包括但不限于：</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提供日常法律咨询服务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就公司业务或经营上遇到的法律问题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包括但不限于劳动用工、合同履行、知识产权保护、公司治理与运作等，</w:t>
      </w:r>
      <w:r>
        <w:rPr>
          <w:rFonts w:hint="eastAsia" w:ascii="仿宋_GB2312" w:hAnsi="仿宋_GB2312" w:eastAsia="仿宋_GB2312" w:cs="仿宋_GB2312"/>
          <w:kern w:val="0"/>
          <w:sz w:val="32"/>
          <w:szCs w:val="32"/>
        </w:rPr>
        <w:t>提供意见</w:t>
      </w:r>
      <w:r>
        <w:rPr>
          <w:rFonts w:hint="eastAsia" w:ascii="仿宋_GB2312" w:hAnsi="仿宋_GB2312" w:eastAsia="仿宋_GB2312" w:cs="仿宋_GB2312"/>
          <w:kern w:val="0"/>
          <w:sz w:val="32"/>
          <w:szCs w:val="32"/>
          <w:lang w:val="en-US" w:eastAsia="zh-CN"/>
        </w:rPr>
        <w:t>和风险管控</w:t>
      </w:r>
      <w:r>
        <w:rPr>
          <w:rFonts w:hint="eastAsia" w:ascii="仿宋_GB2312" w:hAnsi="仿宋_GB2312" w:eastAsia="仿宋_GB2312" w:cs="仿宋_GB2312"/>
          <w:kern w:val="0"/>
          <w:sz w:val="32"/>
          <w:szCs w:val="32"/>
        </w:rPr>
        <w:t>建议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必要时出具</w:t>
      </w:r>
      <w:r>
        <w:rPr>
          <w:rFonts w:hint="eastAsia" w:ascii="仿宋_GB2312" w:hAnsi="仿宋_GB2312" w:eastAsia="仿宋_GB2312" w:cs="仿宋_GB2312"/>
          <w:kern w:val="0"/>
          <w:sz w:val="32"/>
          <w:szCs w:val="32"/>
        </w:rPr>
        <w:t>法律意见书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占比15%</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起草</w:t>
      </w:r>
      <w:r>
        <w:rPr>
          <w:rFonts w:hint="eastAsia" w:ascii="仿宋_GB2312" w:hAnsi="仿宋_GB2312" w:eastAsia="仿宋_GB2312" w:cs="仿宋_GB2312"/>
          <w:kern w:val="0"/>
          <w:sz w:val="32"/>
          <w:szCs w:val="32"/>
        </w:rPr>
        <w:t>、审查、修改公司</w:t>
      </w:r>
      <w:r>
        <w:rPr>
          <w:rFonts w:hint="eastAsia" w:ascii="仿宋_GB2312" w:hAnsi="仿宋_GB2312" w:eastAsia="仿宋_GB2312" w:cs="仿宋_GB2312"/>
          <w:kern w:val="0"/>
          <w:sz w:val="32"/>
          <w:szCs w:val="32"/>
          <w:lang w:val="en-US" w:eastAsia="zh-CN"/>
        </w:rPr>
        <w:t>业务往来中的各类合同、函件及其他</w:t>
      </w:r>
      <w:r>
        <w:rPr>
          <w:rFonts w:hint="eastAsia" w:ascii="仿宋_GB2312" w:hAnsi="仿宋_GB2312" w:eastAsia="仿宋_GB2312" w:cs="仿宋_GB2312"/>
          <w:kern w:val="0"/>
          <w:sz w:val="32"/>
          <w:szCs w:val="32"/>
        </w:rPr>
        <w:t>法律</w:t>
      </w:r>
      <w:r>
        <w:rPr>
          <w:rFonts w:hint="eastAsia" w:ascii="仿宋_GB2312" w:hAnsi="仿宋_GB2312" w:eastAsia="仿宋_GB2312" w:cs="仿宋_GB2312"/>
          <w:kern w:val="0"/>
          <w:sz w:val="32"/>
          <w:szCs w:val="32"/>
          <w:lang w:val="en-US" w:eastAsia="zh-CN"/>
        </w:rPr>
        <w:t>文件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协助审查公司内部规章管理制度，协助制定公司合同示范文本。（占比65%）</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根据公司需求提供专项法律知识及风险培训。</w:t>
      </w:r>
      <w:r>
        <w:rPr>
          <w:rFonts w:hint="eastAsia" w:ascii="仿宋_GB2312" w:hAnsi="仿宋_GB2312" w:eastAsia="仿宋_GB2312" w:cs="仿宋_GB2312"/>
          <w:kern w:val="0"/>
          <w:sz w:val="32"/>
          <w:szCs w:val="32"/>
        </w:rPr>
        <w:t>每年提供至少两次免费的法律</w:t>
      </w:r>
      <w:r>
        <w:rPr>
          <w:rFonts w:hint="eastAsia" w:ascii="仿宋_GB2312" w:hAnsi="仿宋_GB2312" w:eastAsia="仿宋_GB2312" w:cs="仿宋_GB2312"/>
          <w:kern w:val="0"/>
          <w:sz w:val="32"/>
          <w:szCs w:val="32"/>
          <w:lang w:val="en-US" w:eastAsia="zh-CN"/>
        </w:rPr>
        <w:t>知识培训</w:t>
      </w:r>
      <w:r>
        <w:rPr>
          <w:rFonts w:hint="eastAsia" w:ascii="仿宋_GB2312" w:hAnsi="仿宋_GB2312" w:eastAsia="仿宋_GB2312" w:cs="仿宋_GB2312"/>
          <w:kern w:val="0"/>
          <w:sz w:val="32"/>
          <w:szCs w:val="32"/>
        </w:rPr>
        <w:t>讲座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占比5%</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4.对公司突发性法律纠纷提供法律咨询、法律分析，出具法律意见书。（占比5%）</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5.对企业已经面临或可能发生的法律纠纷出具律师函。（占比5%）</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参与</w:t>
      </w:r>
      <w:r>
        <w:rPr>
          <w:rFonts w:hint="eastAsia" w:ascii="仿宋_GB2312" w:hAnsi="仿宋_GB2312" w:eastAsia="仿宋_GB2312" w:cs="仿宋_GB2312"/>
          <w:kern w:val="0"/>
          <w:sz w:val="32"/>
          <w:szCs w:val="32"/>
          <w:lang w:val="en-US" w:eastAsia="zh-CN"/>
        </w:rPr>
        <w:t>公司</w:t>
      </w:r>
      <w:r>
        <w:rPr>
          <w:rFonts w:hint="eastAsia" w:ascii="仿宋_GB2312" w:hAnsi="仿宋_GB2312" w:eastAsia="仿宋_GB2312" w:cs="仿宋_GB2312"/>
          <w:kern w:val="0"/>
          <w:sz w:val="32"/>
          <w:szCs w:val="32"/>
        </w:rPr>
        <w:t>重大</w:t>
      </w:r>
      <w:r>
        <w:rPr>
          <w:rFonts w:hint="eastAsia" w:ascii="仿宋_GB2312" w:hAnsi="仿宋_GB2312" w:eastAsia="仿宋_GB2312" w:cs="仿宋_GB2312"/>
          <w:kern w:val="0"/>
          <w:sz w:val="32"/>
          <w:szCs w:val="32"/>
          <w:lang w:val="en-US" w:eastAsia="zh-CN"/>
        </w:rPr>
        <w:t>事项</w:t>
      </w:r>
      <w:r>
        <w:rPr>
          <w:rFonts w:hint="eastAsia" w:ascii="仿宋_GB2312" w:hAnsi="仿宋_GB2312" w:eastAsia="仿宋_GB2312" w:cs="仿宋_GB2312"/>
          <w:kern w:val="0"/>
          <w:sz w:val="32"/>
          <w:szCs w:val="32"/>
        </w:rPr>
        <w:t>的讨论及决策并提供相关法律咨询服务，出具法律意见书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（占比5%）</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楷体" w:hAnsi="楷体" w:eastAsia="楷体" w:cs="楷体"/>
          <w:kern w:val="0"/>
          <w:sz w:val="32"/>
          <w:szCs w:val="32"/>
        </w:rPr>
        <w:t>(二)</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服务方式：</w:t>
      </w:r>
      <w:r>
        <w:rPr>
          <w:rFonts w:hint="eastAsia" w:ascii="仿宋_GB2312" w:hAnsi="仿宋_GB2312" w:eastAsia="仿宋_GB2312" w:cs="仿宋_GB2312"/>
          <w:kern w:val="0"/>
          <w:sz w:val="32"/>
          <w:szCs w:val="32"/>
        </w:rPr>
        <w:t>书面</w:t>
      </w:r>
      <w:r>
        <w:rPr>
          <w:rFonts w:hint="eastAsia" w:ascii="仿宋_GB2312" w:hAnsi="仿宋_GB2312" w:eastAsia="仿宋_GB2312" w:cs="仿宋_GB2312"/>
          <w:kern w:val="0"/>
          <w:sz w:val="32"/>
          <w:szCs w:val="32"/>
          <w:lang w:val="en-US" w:eastAsia="zh-CN"/>
        </w:rPr>
        <w:t>往来</w:t>
      </w:r>
      <w:r>
        <w:rPr>
          <w:rFonts w:hint="eastAsia" w:ascii="仿宋_GB2312" w:hAnsi="仿宋_GB2312" w:eastAsia="仿宋_GB2312" w:cs="仿宋_GB2312"/>
          <w:kern w:val="0"/>
          <w:sz w:val="32"/>
          <w:szCs w:val="32"/>
        </w:rPr>
        <w:t>、口头咨询、</w:t>
      </w:r>
      <w:r>
        <w:rPr>
          <w:rFonts w:hint="eastAsia" w:ascii="仿宋_GB2312" w:hAnsi="仿宋_GB2312" w:eastAsia="仿宋_GB2312" w:cs="仿宋_GB2312"/>
          <w:kern w:val="0"/>
          <w:sz w:val="32"/>
          <w:szCs w:val="32"/>
          <w:lang w:val="en-US" w:eastAsia="zh-CN"/>
        </w:rPr>
        <w:t>现场工作</w:t>
      </w:r>
      <w:r>
        <w:rPr>
          <w:rFonts w:hint="eastAsia" w:ascii="仿宋_GB2312" w:hAnsi="仿宋_GB2312" w:eastAsia="仿宋_GB2312" w:cs="仿宋_GB2312"/>
          <w:kern w:val="0"/>
          <w:sz w:val="32"/>
          <w:szCs w:val="32"/>
        </w:rPr>
        <w:t>等多种形式</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楷体" w:hAnsi="楷体" w:eastAsia="楷体" w:cs="楷体"/>
          <w:kern w:val="0"/>
          <w:sz w:val="32"/>
          <w:szCs w:val="32"/>
          <w:lang w:val="en-US" w:eastAsia="zh-CN"/>
        </w:rPr>
      </w:pPr>
      <w:r>
        <w:rPr>
          <w:rFonts w:hint="eastAsia" w:ascii="楷体" w:hAnsi="楷体" w:eastAsia="楷体" w:cs="楷体"/>
          <w:kern w:val="0"/>
          <w:sz w:val="32"/>
          <w:szCs w:val="32"/>
        </w:rPr>
        <w:t>(三)</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服务费用标准：</w:t>
      </w:r>
      <w:r>
        <w:rPr>
          <w:rFonts w:hint="eastAsia" w:ascii="仿宋_GB2312" w:hAnsi="仿宋_GB2312" w:eastAsia="仿宋_GB2312" w:cs="仿宋_GB2312"/>
          <w:kern w:val="0"/>
          <w:sz w:val="32"/>
          <w:szCs w:val="32"/>
        </w:rPr>
        <w:t>按律师工作小时计取律师费，年付费，</w:t>
      </w:r>
      <w:r>
        <w:rPr>
          <w:rFonts w:hint="eastAsia" w:ascii="仿宋_GB2312" w:hAnsi="仿宋_GB2312" w:eastAsia="仿宋_GB2312" w:cs="仿宋_GB2312"/>
          <w:color w:val="auto"/>
          <w:kern w:val="0"/>
          <w:sz w:val="32"/>
          <w:szCs w:val="32"/>
          <w:lang w:val="en-US" w:eastAsia="zh-CN"/>
        </w:rPr>
        <w:t>预估年均服务小时数为400小时，超过预估服务小时数需继续提供法律服务。</w:t>
      </w:r>
      <w:r>
        <w:rPr>
          <w:rFonts w:hint="eastAsia" w:ascii="仿宋_GB2312" w:hAnsi="仿宋_GB2312" w:eastAsia="仿宋_GB2312" w:cs="仿宋_GB2312"/>
          <w:kern w:val="0"/>
          <w:sz w:val="32"/>
          <w:szCs w:val="32"/>
        </w:rPr>
        <w:t>服务费用达到</w:t>
      </w:r>
      <w:r>
        <w:rPr>
          <w:rFonts w:hint="eastAsia" w:ascii="仿宋_GB2312" w:hAnsi="仿宋_GB2312" w:eastAsia="仿宋_GB2312" w:cs="仿宋_GB2312"/>
          <w:color w:val="auto"/>
          <w:kern w:val="0"/>
          <w:sz w:val="32"/>
          <w:szCs w:val="32"/>
        </w:rPr>
        <w:t>每年最高封顶费用</w:t>
      </w:r>
      <w:r>
        <w:rPr>
          <w:rFonts w:hint="eastAsia" w:ascii="仿宋_GB2312" w:hAnsi="仿宋_GB2312" w:eastAsia="仿宋_GB2312" w:cs="仿宋_GB2312"/>
          <w:kern w:val="0"/>
          <w:sz w:val="32"/>
          <w:szCs w:val="32"/>
        </w:rPr>
        <w:t>后，以最高封顶费用收取年服务费用。需开具专项增值税发票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lang w:val="en-US" w:eastAsia="zh-CN"/>
        </w:rPr>
        <w:t>本项目最高限价为15万元/年，如超过此价格，则响应无效。</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楷体" w:hAnsi="楷体" w:eastAsia="楷体" w:cs="楷体"/>
          <w:kern w:val="0"/>
          <w:sz w:val="32"/>
          <w:szCs w:val="32"/>
          <w:highlight w:val="none"/>
          <w:lang w:eastAsia="zh-CN"/>
        </w:rPr>
        <w:t>（</w:t>
      </w:r>
      <w:r>
        <w:rPr>
          <w:rFonts w:hint="eastAsia" w:ascii="楷体" w:hAnsi="楷体" w:eastAsia="楷体" w:cs="楷体"/>
          <w:kern w:val="0"/>
          <w:sz w:val="32"/>
          <w:szCs w:val="32"/>
          <w:highlight w:val="none"/>
          <w:lang w:val="en-US" w:eastAsia="zh-CN"/>
        </w:rPr>
        <w:t>四</w:t>
      </w:r>
      <w:r>
        <w:rPr>
          <w:rFonts w:hint="eastAsia" w:ascii="楷体" w:hAnsi="楷体" w:eastAsia="楷体" w:cs="楷体"/>
          <w:kern w:val="0"/>
          <w:sz w:val="32"/>
          <w:szCs w:val="32"/>
          <w:highlight w:val="none"/>
          <w:lang w:eastAsia="zh-CN"/>
        </w:rPr>
        <w:t>）</w:t>
      </w:r>
      <w:r>
        <w:rPr>
          <w:rFonts w:hint="eastAsia" w:ascii="楷体" w:hAnsi="楷体" w:eastAsia="楷体" w:cs="楷体"/>
          <w:kern w:val="0"/>
          <w:sz w:val="32"/>
          <w:szCs w:val="32"/>
          <w:highlight w:val="none"/>
        </w:rPr>
        <w:t>服务期限：</w:t>
      </w:r>
      <w:r>
        <w:rPr>
          <w:rFonts w:hint="eastAsia" w:ascii="仿宋_GB2312" w:hAnsi="仿宋_GB2312" w:eastAsia="仿宋_GB2312" w:cs="仿宋_GB2312"/>
          <w:kern w:val="0"/>
          <w:sz w:val="32"/>
          <w:szCs w:val="32"/>
        </w:rPr>
        <w:t>自合同签订之日起3年</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五</w:t>
      </w: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付款：</w:t>
      </w:r>
      <w:r>
        <w:rPr>
          <w:rFonts w:hint="eastAsia" w:ascii="仿宋_GB2312" w:hAnsi="仿宋_GB2312" w:eastAsia="仿宋_GB2312" w:cs="仿宋_GB2312"/>
          <w:kern w:val="0"/>
          <w:sz w:val="32"/>
          <w:szCs w:val="32"/>
          <w:lang w:val="en-US" w:eastAsia="zh-CN"/>
        </w:rPr>
        <w:t>服务每满一年付费，收到开具的正式增值税专用发票并确认无误后三十个工作日内，一次性支付服务费用。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六</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资质</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符合</w:t>
      </w:r>
      <w:r>
        <w:rPr>
          <w:rFonts w:hint="eastAsia" w:ascii="仿宋_GB2312" w:hAnsi="仿宋_GB2312" w:eastAsia="仿宋_GB2312" w:cs="仿宋_GB2312"/>
          <w:color w:val="auto"/>
          <w:kern w:val="0"/>
          <w:sz w:val="32"/>
          <w:szCs w:val="32"/>
          <w:highlight w:val="none"/>
        </w:rPr>
        <w:t>《律师法》《律师事务所管理办法》</w:t>
      </w:r>
      <w:r>
        <w:rPr>
          <w:rFonts w:hint="eastAsia" w:ascii="仿宋_GB2312" w:hAnsi="仿宋_GB2312" w:eastAsia="仿宋_GB2312" w:cs="仿宋_GB2312"/>
          <w:color w:val="auto"/>
          <w:kern w:val="0"/>
          <w:sz w:val="32"/>
          <w:szCs w:val="32"/>
          <w:highlight w:val="none"/>
          <w:lang w:val="en-US" w:eastAsia="zh-CN"/>
        </w:rPr>
        <w:t>规定的条件，取得执业许可证的律师事务所，且无司法行政机关的处罚记录。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团队</w:t>
      </w:r>
      <w:r>
        <w:rPr>
          <w:rFonts w:hint="eastAsia" w:ascii="仿宋_GB2312" w:hAnsi="仿宋_GB2312" w:eastAsia="仿宋_GB2312" w:cs="仿宋_GB2312"/>
          <w:color w:val="auto"/>
          <w:kern w:val="0"/>
          <w:sz w:val="32"/>
          <w:szCs w:val="32"/>
          <w:lang w:val="en-US" w:eastAsia="zh-CN"/>
        </w:rPr>
        <w:t>成员</w:t>
      </w:r>
      <w:r>
        <w:rPr>
          <w:rFonts w:hint="eastAsia" w:ascii="仿宋_GB2312" w:hAnsi="仿宋_GB2312" w:eastAsia="仿宋_GB2312" w:cs="仿宋_GB2312"/>
          <w:color w:val="auto"/>
          <w:kern w:val="0"/>
          <w:sz w:val="32"/>
          <w:szCs w:val="32"/>
        </w:rPr>
        <w:t>均已</w:t>
      </w:r>
      <w:r>
        <w:rPr>
          <w:rFonts w:hint="eastAsia" w:ascii="仿宋_GB2312" w:hAnsi="仿宋_GB2312" w:eastAsia="仿宋_GB2312" w:cs="仿宋_GB2312"/>
          <w:color w:val="auto"/>
          <w:kern w:val="0"/>
          <w:sz w:val="32"/>
          <w:szCs w:val="32"/>
          <w:lang w:val="en-US" w:eastAsia="zh-CN"/>
        </w:rPr>
        <w:t>取得律师执业证书。</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仿宋_GB2312" w:hAnsi="仿宋_GB2312" w:eastAsia="仿宋_GB2312" w:cs="仿宋_GB2312"/>
          <w:color w:val="auto"/>
          <w:kern w:val="0"/>
          <w:sz w:val="32"/>
          <w:szCs w:val="32"/>
          <w:lang w:val="en-US" w:eastAsia="zh-CN"/>
        </w:rPr>
      </w:pPr>
    </w:p>
    <w:p>
      <w:pPr>
        <w:rPr>
          <w:rFonts w:hint="eastAsia"/>
          <w:b/>
          <w:bCs/>
          <w:sz w:val="44"/>
          <w:szCs w:val="44"/>
          <w:lang w:val="en-US" w:eastAsia="zh-CN"/>
        </w:rPr>
      </w:pPr>
      <w:r>
        <w:rPr>
          <w:rFonts w:hint="eastAsia"/>
          <w:b/>
          <w:bCs/>
          <w:sz w:val="44"/>
          <w:szCs w:val="44"/>
          <w:lang w:val="en-US" w:eastAsia="zh-CN"/>
        </w:rPr>
        <w:br w:type="page"/>
      </w:r>
    </w:p>
    <w:p>
      <w:pPr>
        <w:jc w:val="center"/>
        <w:rPr>
          <w:rFonts w:hint="eastAsia"/>
          <w:b/>
          <w:bCs/>
          <w:sz w:val="44"/>
          <w:szCs w:val="44"/>
          <w:lang w:val="en-US" w:eastAsia="zh-CN"/>
        </w:rPr>
      </w:pPr>
      <w:r>
        <w:rPr>
          <w:rFonts w:hint="eastAsia"/>
          <w:b/>
          <w:bCs/>
          <w:sz w:val="44"/>
          <w:szCs w:val="44"/>
          <w:lang w:val="en-US" w:eastAsia="zh-CN"/>
        </w:rPr>
        <w:t>考评表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840"/>
        <w:gridCol w:w="855"/>
        <w:gridCol w:w="285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考评项目</w:t>
            </w:r>
          </w:p>
        </w:tc>
        <w:tc>
          <w:tcPr>
            <w:tcW w:w="840"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855"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扣分</w:t>
            </w:r>
          </w:p>
        </w:tc>
        <w:tc>
          <w:tcPr>
            <w:tcW w:w="2850"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扣分原因</w:t>
            </w:r>
          </w:p>
        </w:tc>
        <w:tc>
          <w:tcPr>
            <w:tcW w:w="1257"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人员配备情况（主办律师执业经验5年以上，其他成员执业经验3年以上，服务团队人数5人以上）</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15</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是否具备涉外法律服务能力</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日常法律咨询</w:t>
            </w:r>
          </w:p>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响应速度</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合同等法律文件起草、审查、修改时长不超过两个工作日</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25</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是否按要求提供</w:t>
            </w:r>
            <w:r>
              <w:rPr>
                <w:rFonts w:hint="eastAsia" w:ascii="仿宋_GB2312" w:hAnsi="仿宋_GB2312" w:eastAsia="仿宋_GB2312" w:cs="仿宋_GB2312"/>
                <w:b w:val="0"/>
                <w:bCs w:val="0"/>
                <w:kern w:val="0"/>
                <w:sz w:val="28"/>
                <w:szCs w:val="28"/>
                <w:lang w:val="en-US" w:eastAsia="zh-CN"/>
              </w:rPr>
              <w:t>专项法律知识及风险培训</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10</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是否按要求出具法律意见书或律师函</w:t>
            </w: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10</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Pr>
          <w:p>
            <w:pPr>
              <w:jc w:val="center"/>
              <w:rPr>
                <w:rFonts w:hint="eastAsia" w:ascii="仿宋_GB2312" w:hAnsi="仿宋_GB2312" w:eastAsia="仿宋_GB2312" w:cs="仿宋_GB2312"/>
                <w:b/>
                <w:bCs/>
                <w:sz w:val="28"/>
                <w:szCs w:val="28"/>
                <w:vertAlign w:val="baseline"/>
                <w:lang w:val="en-US" w:eastAsia="zh-CN"/>
              </w:rPr>
            </w:pPr>
          </w:p>
        </w:tc>
        <w:tc>
          <w:tcPr>
            <w:tcW w:w="840"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100</w:t>
            </w:r>
          </w:p>
        </w:tc>
        <w:tc>
          <w:tcPr>
            <w:tcW w:w="855" w:type="dxa"/>
          </w:tcPr>
          <w:p>
            <w:pPr>
              <w:jc w:val="center"/>
              <w:rPr>
                <w:rFonts w:hint="eastAsia" w:ascii="仿宋_GB2312" w:hAnsi="仿宋_GB2312" w:eastAsia="仿宋_GB2312" w:cs="仿宋_GB2312"/>
                <w:b/>
                <w:bCs/>
                <w:sz w:val="28"/>
                <w:szCs w:val="28"/>
                <w:vertAlign w:val="baseline"/>
                <w:lang w:val="en-US" w:eastAsia="zh-CN"/>
              </w:rPr>
            </w:pPr>
          </w:p>
        </w:tc>
        <w:tc>
          <w:tcPr>
            <w:tcW w:w="2850" w:type="dxa"/>
          </w:tcPr>
          <w:p>
            <w:pPr>
              <w:jc w:val="center"/>
              <w:rPr>
                <w:rFonts w:hint="eastAsia" w:ascii="仿宋_GB2312" w:hAnsi="仿宋_GB2312" w:eastAsia="仿宋_GB2312" w:cs="仿宋_GB2312"/>
                <w:b/>
                <w:bCs/>
                <w:sz w:val="28"/>
                <w:szCs w:val="28"/>
                <w:vertAlign w:val="baseline"/>
                <w:lang w:val="en-US" w:eastAsia="zh-CN"/>
              </w:rPr>
            </w:pPr>
          </w:p>
        </w:tc>
        <w:tc>
          <w:tcPr>
            <w:tcW w:w="1257" w:type="dxa"/>
          </w:tcPr>
          <w:p>
            <w:pPr>
              <w:jc w:val="center"/>
              <w:rPr>
                <w:rFonts w:hint="eastAsia" w:ascii="仿宋_GB2312" w:hAnsi="仿宋_GB2312" w:eastAsia="仿宋_GB2312" w:cs="仿宋_GB2312"/>
                <w:b/>
                <w:bCs/>
                <w:sz w:val="28"/>
                <w:szCs w:val="28"/>
                <w:vertAlign w:val="baseline"/>
                <w:lang w:val="en-US" w:eastAsia="zh-CN"/>
              </w:rPr>
            </w:pPr>
          </w:p>
        </w:tc>
      </w:tr>
    </w:tbl>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仿宋_GB2312" w:hAnsi="仿宋_GB2312" w:eastAsia="仿宋_GB2312" w:cs="仿宋_GB2312"/>
          <w:color w:val="auto"/>
          <w:kern w:val="0"/>
          <w:sz w:val="32"/>
          <w:szCs w:val="32"/>
          <w:lang w:val="en-US" w:eastAsia="zh-CN"/>
        </w:rPr>
      </w:pPr>
      <w:r>
        <w:rPr>
          <w:rFonts w:hint="eastAsia"/>
          <w:b/>
          <w:bCs/>
          <w:sz w:val="28"/>
          <w:szCs w:val="28"/>
          <w:lang w:val="en-US" w:eastAsia="zh-CN"/>
        </w:rPr>
        <w:t>说明：</w:t>
      </w:r>
      <w:r>
        <w:rPr>
          <w:rFonts w:hint="eastAsia" w:ascii="仿宋_GB2312" w:hAnsi="仿宋_GB2312" w:eastAsia="仿宋_GB2312" w:cs="仿宋_GB2312"/>
          <w:b w:val="0"/>
          <w:bCs w:val="0"/>
          <w:sz w:val="28"/>
          <w:szCs w:val="28"/>
          <w:lang w:val="en-US" w:eastAsia="zh-CN"/>
        </w:rPr>
        <w:t>此考评表为年考评表。表中各项若符合要求则得满分，不符合要求则相应进行适当扣分。每年服务考评得80分以上为合格，若低于合格分数，每低于合格分数一分扣除当年服务费3%。</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微软雅黑" w:hAnsi="微软雅黑" w:eastAsia="微软雅黑" w:cs="微软雅黑"/>
          <w:b/>
          <w:bCs/>
          <w:kern w:val="0"/>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微软雅黑" w:hAnsi="微软雅黑" w:eastAsia="微软雅黑" w:cs="微软雅黑"/>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61DD7"/>
    <w:rsid w:val="00073587"/>
    <w:rsid w:val="000849F7"/>
    <w:rsid w:val="00084E14"/>
    <w:rsid w:val="001348E1"/>
    <w:rsid w:val="001C5795"/>
    <w:rsid w:val="001E62DA"/>
    <w:rsid w:val="002327A9"/>
    <w:rsid w:val="002B2046"/>
    <w:rsid w:val="0031360A"/>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8D123E"/>
    <w:rsid w:val="0090411D"/>
    <w:rsid w:val="009B0260"/>
    <w:rsid w:val="009B317D"/>
    <w:rsid w:val="00A75AAD"/>
    <w:rsid w:val="00AF7503"/>
    <w:rsid w:val="00B747B2"/>
    <w:rsid w:val="00CC1EA5"/>
    <w:rsid w:val="00D477D1"/>
    <w:rsid w:val="00E0025A"/>
    <w:rsid w:val="00EC4A37"/>
    <w:rsid w:val="00F61A1A"/>
    <w:rsid w:val="03AB1463"/>
    <w:rsid w:val="059A055E"/>
    <w:rsid w:val="089F6419"/>
    <w:rsid w:val="0C7D31F0"/>
    <w:rsid w:val="0E7B21D1"/>
    <w:rsid w:val="102E0AD3"/>
    <w:rsid w:val="13681CAC"/>
    <w:rsid w:val="153C3B7C"/>
    <w:rsid w:val="16435CE2"/>
    <w:rsid w:val="1714754C"/>
    <w:rsid w:val="1BD85606"/>
    <w:rsid w:val="1D6416CF"/>
    <w:rsid w:val="22877E66"/>
    <w:rsid w:val="234F287F"/>
    <w:rsid w:val="24E266A7"/>
    <w:rsid w:val="24E72B9B"/>
    <w:rsid w:val="26104722"/>
    <w:rsid w:val="2A3537A1"/>
    <w:rsid w:val="2A5572E7"/>
    <w:rsid w:val="2B5D1F45"/>
    <w:rsid w:val="2C08711F"/>
    <w:rsid w:val="2E5E5DF4"/>
    <w:rsid w:val="2EA027D4"/>
    <w:rsid w:val="305D4EAC"/>
    <w:rsid w:val="3A7E57A7"/>
    <w:rsid w:val="3D1B652F"/>
    <w:rsid w:val="3D247759"/>
    <w:rsid w:val="3D887AA8"/>
    <w:rsid w:val="40CA30D6"/>
    <w:rsid w:val="41E24C9E"/>
    <w:rsid w:val="482D4B3A"/>
    <w:rsid w:val="493A0C1C"/>
    <w:rsid w:val="496502EB"/>
    <w:rsid w:val="4F43387B"/>
    <w:rsid w:val="50A34085"/>
    <w:rsid w:val="50A3744F"/>
    <w:rsid w:val="520E2E26"/>
    <w:rsid w:val="573E6818"/>
    <w:rsid w:val="5A7B26DC"/>
    <w:rsid w:val="5B197C07"/>
    <w:rsid w:val="5B892574"/>
    <w:rsid w:val="5D0870B0"/>
    <w:rsid w:val="5DFD1613"/>
    <w:rsid w:val="631A6C89"/>
    <w:rsid w:val="63326DAF"/>
    <w:rsid w:val="6D6919B6"/>
    <w:rsid w:val="70963B2F"/>
    <w:rsid w:val="713D0957"/>
    <w:rsid w:val="72F07C77"/>
    <w:rsid w:val="751771B2"/>
    <w:rsid w:val="77CA04B3"/>
    <w:rsid w:val="79AC391B"/>
    <w:rsid w:val="7E7C13E5"/>
    <w:rsid w:val="7F01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34"/>
    <w:pPr>
      <w:ind w:firstLine="420" w:firstLineChars="200"/>
    </w:pPr>
    <w:rPr>
      <w:rFonts w:ascii="等线" w:hAnsi="等线" w:eastAsia="等线" w:cs="Times New Roman"/>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font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1046</Words>
  <Characters>1069</Characters>
  <Lines>7</Lines>
  <Paragraphs>2</Paragraphs>
  <TotalTime>1</TotalTime>
  <ScaleCrop>false</ScaleCrop>
  <LinksUpToDate>false</LinksUpToDate>
  <CharactersWithSpaces>1078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2025-08-14T04:04:00Z</cp:lastPrinted>
  <dcterms:modified xsi:type="dcterms:W3CDTF">2025-09-03T00:52:40Z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y fmtid="{D5CDD505-2E9C-101B-9397-08002B2CF9AE}" pid="4" name="KSOTemplateDocerSaveRecord">
    <vt:lpwstr>eyJoZGlkIjoiMzQzZGQ1ZWIxNjU1YzM5YTAwZWZmNjRlNzY1MTZjNmMiLCJ1c2VySWQiOiI0NTIwODMwMDAifQ==</vt:lpwstr>
  </property>
</Properties>
</file>