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上海中航航空食品有限公司</w:t>
      </w:r>
    </w:p>
    <w:p>
      <w:pPr>
        <w:jc w:val="center"/>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高压配电房设备更新设计项目采购需求</w:t>
      </w:r>
    </w:p>
    <w:p>
      <w:pPr>
        <w:jc w:val="center"/>
        <w:rPr>
          <w:rFonts w:hint="eastAsia" w:ascii="方正小标宋简体" w:eastAsia="方正小标宋简体" w:cs="仿宋_GB2312"/>
          <w:kern w:val="0"/>
          <w:sz w:val="44"/>
          <w:szCs w:val="44"/>
          <w:lang w:val="en-US" w:eastAsia="zh-CN"/>
        </w:rPr>
      </w:pPr>
    </w:p>
    <w:p>
      <w:pPr>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根据中翼航空投资有限公司标准采购管理规程和上海中航航空食品有限公司采购管理</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规范</w:t>
      </w:r>
      <w:r>
        <w:rPr>
          <w:rFonts w:hint="eastAsia" w:ascii="仿宋_GB2312" w:hAnsi="微软雅黑" w:eastAsia="仿宋_GB2312" w:cs="微软雅黑"/>
          <w:color w:val="000000" w:themeColor="text1"/>
          <w:kern w:val="0"/>
          <w:sz w:val="32"/>
          <w:szCs w:val="32"/>
          <w14:textFill>
            <w14:solidFill>
              <w14:schemeClr w14:val="tx1"/>
            </w14:solidFill>
          </w14:textFill>
        </w:rPr>
        <w:t>，该项目已具备采购条件。采购申请具体如下：</w:t>
      </w:r>
    </w:p>
    <w:p>
      <w:pPr>
        <w:pStyle w:val="12"/>
        <w:numPr>
          <w:ilvl w:val="0"/>
          <w:numId w:val="0"/>
        </w:numPr>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ind w:firstLine="480"/>
        <w:outlineLvl w:val="1"/>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一</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bookmarkStart w:id="0" w:name="_Toc1946"/>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上海航食浦东厂区高压配电房原设备</w:t>
      </w:r>
      <w:bookmarkEnd w:id="0"/>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为1999年大楼投用时配备，使用超过26年，不满足现有国家节能性能要求，且电气设备老化严重，供电故障率大幅提高，对生产保障工作存较大隐患。同时，由于配餐车辆“油改电”工作的需求，现有配电房供电容量已无法保障全部车辆“油改电”后的正常充电，需进行必要的扩容工作。</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二</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名称</w:t>
      </w:r>
      <w:r>
        <w:rPr>
          <w:rFonts w:hint="eastAsia" w:ascii="仿宋_GB2312" w:hAnsi="微软雅黑" w:eastAsia="仿宋_GB2312" w:cs="微软雅黑"/>
          <w:color w:val="000000" w:themeColor="text1"/>
          <w:kern w:val="0"/>
          <w:sz w:val="32"/>
          <w:szCs w:val="32"/>
          <w14:textFill>
            <w14:solidFill>
              <w14:schemeClr w14:val="tx1"/>
            </w14:solidFill>
          </w14:textFill>
        </w:rPr>
        <w:t>：上海中航航空食品有限公司</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高压配电房设备更新设计项目。</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三</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合</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同期限：自高压配电房设备更新验收完成止。</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四</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交付期限：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30个自然日。</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五</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付款方式：</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合同签订后预付合同总价的15%，提供设计服务，出具设计方案、图纸（纸质、电子）后并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得到我司上级管理部门</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（机场能源保障部）的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审核批准</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，在收到增值税专用发票后一个月内支付合同总价的50%，待高压配电房设备更新项目施工结束，并完成施工验收后收到增值税专用发票支付剩余的35%。</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br w:type="textWrapping"/>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 xml:space="preserve">   （六）</w:t>
      </w:r>
      <w:r>
        <w:rPr>
          <w:rFonts w:hint="eastAsia" w:ascii="仿宋_GB2312" w:hAnsi="微软雅黑" w:eastAsia="仿宋_GB2312" w:cs="微软雅黑"/>
          <w:color w:val="000000" w:themeColor="text1"/>
          <w:kern w:val="0"/>
          <w:sz w:val="32"/>
          <w:szCs w:val="32"/>
          <w14:textFill>
            <w14:solidFill>
              <w14:schemeClr w14:val="tx1"/>
            </w14:solidFill>
          </w14:textFill>
        </w:rPr>
        <w:t>项目地点：</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上海浦东新区</w:t>
      </w:r>
      <w:r>
        <w:rPr>
          <w:rFonts w:hint="eastAsia" w:ascii="仿宋_GB2312" w:hAnsi="微软雅黑" w:eastAsia="仿宋_GB2312" w:cs="微软雅黑"/>
          <w:color w:val="000000" w:themeColor="text1"/>
          <w:kern w:val="0"/>
          <w:sz w:val="32"/>
          <w:szCs w:val="32"/>
          <w14:textFill>
            <w14:solidFill>
              <w14:schemeClr w14:val="tx1"/>
            </w14:solidFill>
          </w14:textFill>
        </w:rPr>
        <w:t>领航路100号</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br w:type="textWrapping"/>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 xml:space="preserve">   （七</w:t>
      </w:r>
      <w:bookmarkStart w:id="3" w:name="_GoBack"/>
      <w:bookmarkEnd w:id="3"/>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）执行标准：</w:t>
      </w:r>
    </w:p>
    <w:tbl>
      <w:tblPr>
        <w:tblStyle w:val="8"/>
        <w:tblW w:w="9204" w:type="dxa"/>
        <w:tblInd w:w="-31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2"/>
        <w:gridCol w:w="6084"/>
        <w:gridCol w:w="220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912" w:type="dxa"/>
            <w:noWrap w:val="0"/>
            <w:vAlign w:val="bottom"/>
          </w:tcPr>
          <w:p>
            <w:pPr>
              <w:spacing w:line="336" w:lineRule="auto"/>
              <w:jc w:val="cente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序号</w:t>
            </w:r>
          </w:p>
        </w:tc>
        <w:tc>
          <w:tcPr>
            <w:tcW w:w="6084" w:type="dxa"/>
            <w:noWrap w:val="0"/>
            <w:vAlign w:val="bottom"/>
          </w:tcPr>
          <w:p>
            <w:pPr>
              <w:spacing w:line="336" w:lineRule="auto"/>
              <w:ind w:firstLine="640" w:firstLineChars="200"/>
              <w:jc w:val="cente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规范名称</w:t>
            </w:r>
          </w:p>
        </w:tc>
        <w:tc>
          <w:tcPr>
            <w:tcW w:w="2208" w:type="dxa"/>
            <w:noWrap w:val="0"/>
            <w:vAlign w:val="bottom"/>
          </w:tcPr>
          <w:p>
            <w:pPr>
              <w:spacing w:line="336" w:lineRule="auto"/>
              <w:jc w:val="cente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编  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12" w:type="dxa"/>
            <w:noWrap w:val="0"/>
            <w:vAlign w:val="center"/>
          </w:tcPr>
          <w:p>
            <w:pPr>
              <w:spacing w:line="336" w:lineRule="auto"/>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1</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《供配电系统设计规范》</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GB50052-2009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12" w:type="dxa"/>
            <w:noWrap w:val="0"/>
            <w:vAlign w:val="center"/>
          </w:tcPr>
          <w:p>
            <w:pPr>
              <w:spacing w:line="336" w:lineRule="auto"/>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2</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《3~110KV 高压配电装置设计规范》</w:t>
            </w:r>
          </w:p>
        </w:tc>
        <w:tc>
          <w:tcPr>
            <w:tcW w:w="2208" w:type="dxa"/>
            <w:noWrap w:val="0"/>
            <w:vAlign w:val="center"/>
          </w:tcPr>
          <w:p>
            <w:pPr>
              <w:spacing w:line="336" w:lineRule="auto"/>
              <w:ind w:firstLine="440" w:firstLineChars="200"/>
              <w:jc w:val="left"/>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 xml:space="preserve">GB50060-2008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912" w:type="dxa"/>
            <w:noWrap w:val="0"/>
            <w:vAlign w:val="center"/>
          </w:tcPr>
          <w:p>
            <w:pPr>
              <w:spacing w:line="336" w:lineRule="auto"/>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3</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《20KV 及以下变电所设计规范》</w:t>
            </w:r>
          </w:p>
        </w:tc>
        <w:tc>
          <w:tcPr>
            <w:tcW w:w="2208" w:type="dxa"/>
            <w:noWrap w:val="0"/>
            <w:vAlign w:val="center"/>
          </w:tcPr>
          <w:p>
            <w:pPr>
              <w:spacing w:line="336" w:lineRule="auto"/>
              <w:ind w:firstLine="440" w:firstLineChars="200"/>
              <w:jc w:val="left"/>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GB50053-2013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912" w:type="dxa"/>
            <w:noWrap w:val="0"/>
            <w:vAlign w:val="center"/>
          </w:tcPr>
          <w:p>
            <w:pPr>
              <w:spacing w:line="336" w:lineRule="auto"/>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4</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《低压配电设计规范》</w:t>
            </w:r>
          </w:p>
        </w:tc>
        <w:tc>
          <w:tcPr>
            <w:tcW w:w="2208" w:type="dxa"/>
            <w:noWrap w:val="0"/>
            <w:vAlign w:val="center"/>
          </w:tcPr>
          <w:p>
            <w:pPr>
              <w:spacing w:line="336" w:lineRule="auto"/>
              <w:ind w:firstLine="440" w:firstLineChars="200"/>
              <w:jc w:val="left"/>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GB50054-2011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noWrap w:val="0"/>
            <w:vAlign w:val="center"/>
          </w:tcPr>
          <w:p>
            <w:pPr>
              <w:spacing w:line="336" w:lineRule="auto"/>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5</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《通用用电设备配电设计规范》</w:t>
            </w:r>
          </w:p>
        </w:tc>
        <w:tc>
          <w:tcPr>
            <w:tcW w:w="2208" w:type="dxa"/>
            <w:noWrap w:val="0"/>
            <w:vAlign w:val="center"/>
          </w:tcPr>
          <w:p>
            <w:pPr>
              <w:spacing w:line="336" w:lineRule="auto"/>
              <w:ind w:firstLine="440" w:firstLineChars="200"/>
              <w:jc w:val="left"/>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GB50055-2011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12" w:type="dxa"/>
            <w:noWrap w:val="0"/>
            <w:vAlign w:val="center"/>
          </w:tcPr>
          <w:p>
            <w:pPr>
              <w:spacing w:line="336" w:lineRule="auto"/>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6</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《爆炸危险环境电力装置设计规范》</w:t>
            </w:r>
          </w:p>
        </w:tc>
        <w:tc>
          <w:tcPr>
            <w:tcW w:w="2208" w:type="dxa"/>
            <w:noWrap w:val="0"/>
            <w:vAlign w:val="center"/>
          </w:tcPr>
          <w:p>
            <w:pPr>
              <w:spacing w:line="336" w:lineRule="auto"/>
              <w:ind w:firstLine="440" w:firstLineChars="200"/>
              <w:jc w:val="left"/>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 xml:space="preserve"> GB50058-2014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912" w:type="dxa"/>
            <w:noWrap w:val="0"/>
            <w:vAlign w:val="center"/>
          </w:tcPr>
          <w:p>
            <w:pPr>
              <w:spacing w:line="336" w:lineRule="auto"/>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7</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《建筑设计防火规范》</w:t>
            </w:r>
          </w:p>
        </w:tc>
        <w:tc>
          <w:tcPr>
            <w:tcW w:w="2208" w:type="dxa"/>
            <w:noWrap w:val="0"/>
            <w:vAlign w:val="center"/>
          </w:tcPr>
          <w:p>
            <w:pPr>
              <w:spacing w:line="336" w:lineRule="auto"/>
              <w:ind w:firstLine="440" w:firstLineChars="200"/>
              <w:jc w:val="left"/>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GB50016-2014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12" w:type="dxa"/>
            <w:noWrap w:val="0"/>
            <w:vAlign w:val="center"/>
          </w:tcPr>
          <w:p>
            <w:pPr>
              <w:spacing w:line="336" w:lineRule="auto"/>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8</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《电力工程电缆设计规范》</w:t>
            </w:r>
          </w:p>
        </w:tc>
        <w:tc>
          <w:tcPr>
            <w:tcW w:w="2208" w:type="dxa"/>
            <w:noWrap w:val="0"/>
            <w:vAlign w:val="center"/>
          </w:tcPr>
          <w:p>
            <w:pPr>
              <w:spacing w:line="336" w:lineRule="auto"/>
              <w:ind w:firstLine="440" w:firstLineChars="200"/>
              <w:jc w:val="left"/>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 xml:space="preserve"> GB50217-2018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912" w:type="dxa"/>
            <w:noWrap w:val="0"/>
            <w:vAlign w:val="center"/>
          </w:tcPr>
          <w:p>
            <w:pPr>
              <w:spacing w:line="336" w:lineRule="auto"/>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9</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《洁净厂房设计规范》</w:t>
            </w:r>
          </w:p>
        </w:tc>
        <w:tc>
          <w:tcPr>
            <w:tcW w:w="2208" w:type="dxa"/>
            <w:noWrap w:val="0"/>
            <w:vAlign w:val="center"/>
          </w:tcPr>
          <w:p>
            <w:pPr>
              <w:spacing w:line="336" w:lineRule="auto"/>
              <w:ind w:firstLine="440" w:firstLineChars="200"/>
              <w:jc w:val="left"/>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 xml:space="preserve">GB50073-2013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10</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 xml:space="preserve">《电子工业洁净厂房设计规范》  </w:t>
            </w:r>
          </w:p>
        </w:tc>
        <w:tc>
          <w:tcPr>
            <w:tcW w:w="2208" w:type="dxa"/>
            <w:noWrap w:val="0"/>
            <w:vAlign w:val="center"/>
          </w:tcPr>
          <w:p>
            <w:pPr>
              <w:spacing w:line="336" w:lineRule="auto"/>
              <w:ind w:firstLine="440" w:firstLineChars="200"/>
              <w:jc w:val="left"/>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GB50472-2008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11</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 xml:space="preserve">《低压开关设备和控制设备总则》 </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GB/T14050.1-2008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12</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 xml:space="preserve">《低压开关设备和控制设备断路器》  </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GB14050.2-2008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13</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 xml:space="preserve">《低压固定封闭式成套开关设备》 </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GB5877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14</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《电气装置安装工程－电气设备交接试验标准》</w:t>
            </w:r>
          </w:p>
        </w:tc>
        <w:tc>
          <w:tcPr>
            <w:tcW w:w="2208" w:type="dxa"/>
            <w:noWrap w:val="0"/>
            <w:vAlign w:val="center"/>
          </w:tcPr>
          <w:p>
            <w:pPr>
              <w:spacing w:line="336" w:lineRule="auto"/>
              <w:ind w:firstLine="440" w:firstLineChars="200"/>
              <w:jc w:val="both"/>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 xml:space="preserve">GB50150-2016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15</w:t>
            </w:r>
          </w:p>
        </w:tc>
        <w:tc>
          <w:tcPr>
            <w:tcW w:w="6084" w:type="dxa"/>
            <w:noWrap w:val="0"/>
            <w:vAlign w:val="center"/>
          </w:tcPr>
          <w:p>
            <w:pPr>
              <w:spacing w:line="336" w:lineRule="auto"/>
              <w:jc w:val="both"/>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《电气装置安装工程－盘、柜及二次回路接线施工及验收规范》</w:t>
            </w:r>
          </w:p>
        </w:tc>
        <w:tc>
          <w:tcPr>
            <w:tcW w:w="2208" w:type="dxa"/>
            <w:noWrap w:val="0"/>
            <w:vAlign w:val="center"/>
          </w:tcPr>
          <w:p>
            <w:pPr>
              <w:spacing w:line="336" w:lineRule="auto"/>
              <w:ind w:firstLine="440" w:firstLineChars="200"/>
              <w:jc w:val="both"/>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 xml:space="preserve">GB50171-2012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16</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《避雷器》</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IEC99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17</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 xml:space="preserve">《电力变压器第 11 部分：干式变压器》 </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IEC60076-11:2004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18</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 xml:space="preserve">《电力变压器第 11 部分：干式变压器》 </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GB1094.11-2007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19</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 xml:space="preserve">《电力变压器第 10 部分：声级测定》 </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GB/T 1094.10-2007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20</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《电气装置安装工程低压电器施工及验收规范》</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GB50254—2014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21</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《电气装置安装工程电缆线路施工及验收规范》</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GB50168—2018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22</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《电气装置安装工程接地装置施工及验收规范》</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GB50169—2016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23</w:t>
            </w:r>
          </w:p>
        </w:tc>
        <w:tc>
          <w:tcPr>
            <w:tcW w:w="6084" w:type="dxa"/>
            <w:noWrap w:val="0"/>
            <w:vAlign w:val="center"/>
          </w:tcPr>
          <w:p>
            <w:pPr>
              <w:spacing w:line="336" w:lineRule="auto"/>
              <w:jc w:val="both"/>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 xml:space="preserve">《电气装置安装工程盘、柜及二次回路结线施工及验收规范》 </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GB50171—2012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24</w:t>
            </w:r>
          </w:p>
        </w:tc>
        <w:tc>
          <w:tcPr>
            <w:tcW w:w="6084" w:type="dxa"/>
            <w:noWrap w:val="0"/>
            <w:vAlign w:val="center"/>
          </w:tcPr>
          <w:p>
            <w:pPr>
              <w:spacing w:line="336" w:lineRule="auto"/>
              <w:jc w:val="both"/>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 xml:space="preserve">《电气装置安装工程盘、柜及二次回路结线施工及验收规范》 </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GB50171—2012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25</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《电气装置安装工程电气设备交接试验标准》</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GB50150—2016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12" w:type="dxa"/>
            <w:noWrap w:val="0"/>
            <w:vAlign w:val="center"/>
          </w:tcPr>
          <w:p>
            <w:pPr>
              <w:spacing w:line="336" w:lineRule="auto"/>
              <w:jc w:val="center"/>
              <w:rPr>
                <w:rFonts w:hint="default"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26</w:t>
            </w:r>
          </w:p>
        </w:tc>
        <w:tc>
          <w:tcPr>
            <w:tcW w:w="6084" w:type="dxa"/>
            <w:noWrap w:val="0"/>
            <w:vAlign w:val="center"/>
          </w:tcPr>
          <w:p>
            <w:pPr>
              <w:spacing w:line="336" w:lineRule="auto"/>
              <w:ind w:firstLine="420" w:firstLineChars="200"/>
              <w:jc w:val="cente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1"/>
                <w:szCs w:val="21"/>
                <w:highlight w:val="none"/>
                <w:lang w:val="en-US" w:eastAsia="zh-CN"/>
                <w14:textFill>
                  <w14:solidFill>
                    <w14:schemeClr w14:val="tx1"/>
                  </w14:solidFill>
                </w14:textFill>
              </w:rPr>
              <w:t>《建筑机电工程抗震设计规范》</w:t>
            </w:r>
          </w:p>
        </w:tc>
        <w:tc>
          <w:tcPr>
            <w:tcW w:w="2208" w:type="dxa"/>
            <w:noWrap w:val="0"/>
            <w:vAlign w:val="center"/>
          </w:tcPr>
          <w:p>
            <w:pPr>
              <w:spacing w:line="336" w:lineRule="auto"/>
              <w:jc w:val="cente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22"/>
                <w:szCs w:val="22"/>
                <w:highlight w:val="none"/>
                <w:lang w:val="en-US" w:eastAsia="zh-CN"/>
                <w14:textFill>
                  <w14:solidFill>
                    <w14:schemeClr w14:val="tx1"/>
                  </w14:solidFill>
                </w14:textFill>
              </w:rPr>
              <w:t>GB50981-2014</w:t>
            </w:r>
          </w:p>
        </w:tc>
      </w:tr>
    </w:tbl>
    <w:p>
      <w:pPr>
        <w:pStyle w:val="12"/>
        <w:numPr>
          <w:ilvl w:val="0"/>
          <w:numId w:val="0"/>
        </w:numPr>
        <w:rPr>
          <w:rFonts w:hint="eastAsia" w:ascii="黑体" w:hAnsi="黑体" w:eastAsia="黑体" w:cs="微软雅黑"/>
          <w:color w:val="000000" w:themeColor="text1"/>
          <w:kern w:val="0"/>
          <w:sz w:val="32"/>
          <w:szCs w:val="32"/>
          <w:lang w:val="en-US" w:eastAsia="zh-CN"/>
          <w14:textFill>
            <w14:solidFill>
              <w14:schemeClr w14:val="tx1"/>
            </w14:solidFill>
          </w14:textFill>
        </w:rPr>
      </w:pPr>
    </w:p>
    <w:p>
      <w:pPr>
        <w:pStyle w:val="12"/>
        <w:numPr>
          <w:ilvl w:val="0"/>
          <w:numId w:val="0"/>
        </w:numPr>
        <w:ind w:leftChars="0" w:firstLine="640" w:firstLineChars="200"/>
        <w:rPr>
          <w:rFonts w:hint="eastAsia"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采购需求</w:t>
      </w:r>
    </w:p>
    <w:p>
      <w:pPr>
        <w:pStyle w:val="12"/>
        <w:numPr>
          <w:ilvl w:val="0"/>
          <w:numId w:val="0"/>
        </w:numPr>
        <w:ind w:leftChars="0"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（一）供应商勘察项目现场。</w:t>
      </w:r>
    </w:p>
    <w:p>
      <w:pPr>
        <w:pStyle w:val="12"/>
        <w:numPr>
          <w:ilvl w:val="0"/>
          <w:numId w:val="0"/>
        </w:numPr>
        <w:ind w:leftChars="0"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（二）供应商根据高压配电房现场设备布置情况和原有设计图纸根据我司提出的要求进行更新设计。</w:t>
      </w:r>
    </w:p>
    <w:p>
      <w:pPr>
        <w:pStyle w:val="12"/>
        <w:numPr>
          <w:ilvl w:val="0"/>
          <w:numId w:val="0"/>
        </w:numPr>
        <w:ind w:leftChars="0"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（三）设计内容和要求如下：</w:t>
      </w:r>
    </w:p>
    <w:p>
      <w:pPr>
        <w:pStyle w:val="12"/>
        <w:numPr>
          <w:ilvl w:val="0"/>
          <w:numId w:val="0"/>
        </w:numPr>
        <w:ind w:leftChars="0"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1.外线线路设计</w:t>
      </w:r>
    </w:p>
    <w:p>
      <w:pPr>
        <w:spacing w:line="360" w:lineRule="auto"/>
        <w:ind w:firstLine="640" w:firstLineChars="200"/>
        <w:textAlignment w:val="baseline"/>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35kV开关站至10KV用户站的范围内的所有线路施工图和设计变更图，其中土建施工图包括：满足上级管理部门（机场能源保障部）要求的建筑电气（防雷、接地、照明、动力）施工图。</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2.高压配电房设备设计（</w:t>
      </w:r>
      <w:r>
        <w:rPr>
          <w:rFonts w:hint="eastAsia" w:ascii="仿宋_GB2312" w:hAnsi="仿宋_GB2312" w:eastAsia="仿宋_GB2312" w:cs="仿宋_GB2312"/>
          <w:sz w:val="32"/>
          <w:szCs w:val="32"/>
        </w:rPr>
        <w:t>浦东配电房</w:t>
      </w:r>
      <w:r>
        <w:rPr>
          <w:rFonts w:hint="eastAsia" w:ascii="仿宋_GB2312" w:hAnsi="仿宋_GB2312" w:eastAsia="仿宋_GB2312" w:cs="仿宋_GB2312"/>
          <w:sz w:val="32"/>
          <w:szCs w:val="32"/>
          <w:lang w:val="en-US" w:eastAsia="zh-CN"/>
        </w:rPr>
        <w:t>目前现</w:t>
      </w:r>
      <w:r>
        <w:rPr>
          <w:rFonts w:hint="eastAsia" w:ascii="仿宋_GB2312" w:hAnsi="仿宋_GB2312" w:eastAsia="仿宋_GB2312" w:cs="仿宋_GB2312"/>
          <w:sz w:val="32"/>
          <w:szCs w:val="32"/>
        </w:rPr>
        <w:t>配置：变压器（4台）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低压开关柜（</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高压开关柜（2套）</w:t>
      </w:r>
      <w:r>
        <w:rPr>
          <w:rFonts w:hint="eastAsia" w:ascii="仿宋_GB2312" w:hAnsi="仿宋_GB2312" w:eastAsia="仿宋_GB2312" w:cs="仿宋_GB2312"/>
          <w:sz w:val="32"/>
          <w:szCs w:val="32"/>
          <w:lang w:eastAsia="zh-CN"/>
        </w:rPr>
        <w:t>。</w:t>
      </w:r>
    </w:p>
    <w:p>
      <w:pPr>
        <w:numPr>
          <w:ilvl w:val="0"/>
          <w:numId w:val="0"/>
        </w:numPr>
        <w:spacing w:line="360" w:lineRule="auto"/>
        <w:ind w:firstLine="640"/>
        <w:textAlignment w:val="baseline"/>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2.1变压器更新</w:t>
      </w:r>
    </w:p>
    <w:p>
      <w:pPr>
        <w:numPr>
          <w:ilvl w:val="0"/>
          <w:numId w:val="0"/>
        </w:numPr>
        <w:spacing w:line="360" w:lineRule="auto"/>
        <w:ind w:firstLine="640"/>
        <w:textAlignment w:val="baseline"/>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原有变压器规格为：1000KVA 和 1250KVA 各2台；更新升级为：1250KVA 和 1600KVA 各2台。</w:t>
      </w:r>
    </w:p>
    <w:p>
      <w:pPr>
        <w:numPr>
          <w:ilvl w:val="0"/>
          <w:numId w:val="0"/>
        </w:numPr>
        <w:spacing w:line="360" w:lineRule="auto"/>
        <w:ind w:firstLine="640"/>
        <w:textAlignment w:val="baseline"/>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2.2原有高压柜按相同（或相近）规格型号更新2套。</w:t>
      </w:r>
    </w:p>
    <w:p>
      <w:pPr>
        <w:numPr>
          <w:ilvl w:val="0"/>
          <w:numId w:val="0"/>
        </w:numPr>
        <w:spacing w:line="360" w:lineRule="auto"/>
        <w:ind w:firstLine="640" w:firstLineChars="200"/>
        <w:textAlignment w:val="baseline"/>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2.3原有低压柜按相同（或相近）规格型号更新4套，同时在原来配置上新增240KW充电桩抽屉开关4只，240KW备用抽屉开关2只，120KW备用抽屉开关2只。</w:t>
      </w:r>
    </w:p>
    <w:p>
      <w:pPr>
        <w:numPr>
          <w:ilvl w:val="0"/>
          <w:numId w:val="0"/>
        </w:numPr>
        <w:spacing w:line="360" w:lineRule="auto"/>
        <w:ind w:firstLine="640" w:firstLineChars="200"/>
        <w:textAlignment w:val="baseline"/>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2.4 由于设备更换不得影响我司正常生产供电保障工作，设计须充分考虑设备更换施工过程中可能遇到的困难，确保后续更换工作的正常开展。</w:t>
      </w:r>
    </w:p>
    <w:p>
      <w:pPr>
        <w:spacing w:line="360" w:lineRule="auto"/>
        <w:ind w:firstLine="640" w:firstLineChars="200"/>
        <w:textAlignment w:val="baseline"/>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2.5高压配电房设备内电气一、二次施工图设计和设计变更图，包括满足上级管理部门（机场能源保障部）要求的建筑电气（接地、照明、动力）施工图。</w:t>
      </w:r>
    </w:p>
    <w:p>
      <w:pPr>
        <w:pStyle w:val="12"/>
        <w:numPr>
          <w:ilvl w:val="0"/>
          <w:numId w:val="0"/>
        </w:numPr>
        <w:ind w:leftChars="0"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（四）设计成果的审批</w:t>
      </w:r>
    </w:p>
    <w:p>
      <w:pPr>
        <w:pStyle w:val="12"/>
        <w:numPr>
          <w:ilvl w:val="0"/>
          <w:numId w:val="0"/>
        </w:numPr>
        <w:ind w:leftChars="0"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供应商所出设计图纸须得到我司上级管理部门</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（机场能源保障部）的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审核批准。如果我司上级管理部门</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（机场能源保障部）审图后提出修改要求的，须配合进行图纸修改工作。</w:t>
      </w:r>
    </w:p>
    <w:p>
      <w:pPr>
        <w:pStyle w:val="12"/>
        <w:numPr>
          <w:ilvl w:val="0"/>
          <w:numId w:val="0"/>
        </w:numPr>
        <w:ind w:leftChars="0"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（五）项目验收配合工作</w:t>
      </w:r>
    </w:p>
    <w:p>
      <w:pPr>
        <w:pStyle w:val="12"/>
        <w:numPr>
          <w:ilvl w:val="0"/>
          <w:numId w:val="0"/>
        </w:numPr>
        <w:ind w:leftChars="0"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供应商须共同参与我司上级管理部门</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（机场能源保障部）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的验收测试，并协助我司完成高压配电房设备更新项目最终的验收测试配合工作。</w:t>
      </w:r>
    </w:p>
    <w:p>
      <w:pPr>
        <w:pStyle w:val="12"/>
        <w:numPr>
          <w:ilvl w:val="0"/>
          <w:numId w:val="0"/>
        </w:numPr>
        <w:ind w:firstLine="640" w:firstLineChars="200"/>
        <w:rPr>
          <w:rFonts w:hint="eastAsia" w:ascii="黑体" w:hAnsi="黑体" w:eastAsia="黑体" w:cs="微软雅黑"/>
          <w:color w:val="000000" w:themeColor="text1"/>
          <w:kern w:val="0"/>
          <w:sz w:val="32"/>
          <w:szCs w:val="32"/>
          <w:highlight w:val="none"/>
          <w:lang w:val="en-US" w:eastAsia="zh-CN"/>
          <w14:textFill>
            <w14:solidFill>
              <w14:schemeClr w14:val="tx1"/>
            </w14:solidFill>
          </w14:textFill>
        </w:rPr>
      </w:pPr>
      <w:r>
        <w:rPr>
          <w:rFonts w:hint="eastAsia" w:ascii="黑体" w:hAnsi="黑体" w:eastAsia="黑体" w:cs="微软雅黑"/>
          <w:color w:val="000000" w:themeColor="text1"/>
          <w:kern w:val="0"/>
          <w:sz w:val="32"/>
          <w:szCs w:val="32"/>
          <w:highlight w:val="none"/>
          <w:lang w:val="en-US" w:eastAsia="zh-CN"/>
          <w14:textFill>
            <w14:solidFill>
              <w14:schemeClr w14:val="tx1"/>
            </w14:solidFill>
          </w14:textFill>
        </w:rPr>
        <w:t>三、供应商资质</w:t>
      </w:r>
    </w:p>
    <w:p>
      <w:pPr>
        <w:keepNext w:val="0"/>
        <w:keepLines w:val="0"/>
        <w:pageBreakBefore w:val="0"/>
        <w:widowControl/>
        <w:kinsoku/>
        <w:wordWrap/>
        <w:overflowPunct/>
        <w:topLinePunct w:val="0"/>
        <w:autoSpaceDE/>
        <w:autoSpaceDN/>
        <w:bidi w:val="0"/>
        <w:spacing w:after="0" w:line="360" w:lineRule="auto"/>
        <w:ind w:left="0" w:right="0" w:firstLine="640" w:firstLineChars="200"/>
        <w:jc w:val="both"/>
        <w:textAlignment w:val="auto"/>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具备工程设计资质证书：资质类别包含</w:t>
      </w:r>
      <w:bookmarkStart w:id="1" w:name="OLE_LINK1"/>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电力行业(变电工程、送电工程)专业丙级及以上</w:t>
      </w:r>
      <w:bookmarkEnd w:id="1"/>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w:t>
      </w:r>
      <w:bookmarkStart w:id="2" w:name="page5"/>
      <w:bookmarkEnd w:id="2"/>
    </w:p>
    <w:p>
      <w:pPr>
        <w:numPr>
          <w:ilvl w:val="0"/>
          <w:numId w:val="0"/>
        </w:numPr>
        <w:ind w:leftChars="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numPr>
          <w:ilvl w:val="0"/>
          <w:numId w:val="0"/>
        </w:numPr>
        <w:ind w:leftChars="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1D4"/>
    <w:rsid w:val="000550E3"/>
    <w:rsid w:val="00061DD7"/>
    <w:rsid w:val="00073587"/>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1155E73"/>
    <w:rsid w:val="01615BD5"/>
    <w:rsid w:val="02F12047"/>
    <w:rsid w:val="02FC0F80"/>
    <w:rsid w:val="038D13F5"/>
    <w:rsid w:val="09AA40ED"/>
    <w:rsid w:val="0A35205B"/>
    <w:rsid w:val="0AD82855"/>
    <w:rsid w:val="0ADA4328"/>
    <w:rsid w:val="0B613EDC"/>
    <w:rsid w:val="0C1E413A"/>
    <w:rsid w:val="0F415EE5"/>
    <w:rsid w:val="107965E8"/>
    <w:rsid w:val="11342E45"/>
    <w:rsid w:val="12920FE3"/>
    <w:rsid w:val="162F109F"/>
    <w:rsid w:val="177D3694"/>
    <w:rsid w:val="18506B1A"/>
    <w:rsid w:val="1AD55E87"/>
    <w:rsid w:val="1B0B2EE2"/>
    <w:rsid w:val="1E7050C8"/>
    <w:rsid w:val="1FD76D09"/>
    <w:rsid w:val="20074127"/>
    <w:rsid w:val="24226318"/>
    <w:rsid w:val="245F5A32"/>
    <w:rsid w:val="247356F9"/>
    <w:rsid w:val="28DB27E2"/>
    <w:rsid w:val="28E06186"/>
    <w:rsid w:val="2B25715A"/>
    <w:rsid w:val="2C745D8F"/>
    <w:rsid w:val="2E6F05E7"/>
    <w:rsid w:val="30543114"/>
    <w:rsid w:val="32595F46"/>
    <w:rsid w:val="33A905CE"/>
    <w:rsid w:val="35E00E9D"/>
    <w:rsid w:val="37B0491D"/>
    <w:rsid w:val="39B03127"/>
    <w:rsid w:val="39D04FA7"/>
    <w:rsid w:val="3C745A28"/>
    <w:rsid w:val="3E065948"/>
    <w:rsid w:val="40394495"/>
    <w:rsid w:val="408349EA"/>
    <w:rsid w:val="415D7012"/>
    <w:rsid w:val="42A55139"/>
    <w:rsid w:val="42C2256A"/>
    <w:rsid w:val="43D94EB6"/>
    <w:rsid w:val="44144DEA"/>
    <w:rsid w:val="47BB4B72"/>
    <w:rsid w:val="4B437213"/>
    <w:rsid w:val="4B9B37F0"/>
    <w:rsid w:val="4C4E0035"/>
    <w:rsid w:val="4FDE438F"/>
    <w:rsid w:val="50A41B3A"/>
    <w:rsid w:val="50BE1AE9"/>
    <w:rsid w:val="515437E4"/>
    <w:rsid w:val="51983D3A"/>
    <w:rsid w:val="51D751EE"/>
    <w:rsid w:val="52815F13"/>
    <w:rsid w:val="541A7917"/>
    <w:rsid w:val="55A33EB3"/>
    <w:rsid w:val="56CD7A31"/>
    <w:rsid w:val="588910F8"/>
    <w:rsid w:val="5D0B5592"/>
    <w:rsid w:val="5DFD1613"/>
    <w:rsid w:val="5E19144E"/>
    <w:rsid w:val="5E9F4342"/>
    <w:rsid w:val="5F6C1325"/>
    <w:rsid w:val="626F601F"/>
    <w:rsid w:val="63326DAF"/>
    <w:rsid w:val="6441467C"/>
    <w:rsid w:val="64473006"/>
    <w:rsid w:val="65DF65B1"/>
    <w:rsid w:val="66191A7F"/>
    <w:rsid w:val="6A456AD9"/>
    <w:rsid w:val="6A5C2774"/>
    <w:rsid w:val="6B927153"/>
    <w:rsid w:val="6DFF62F4"/>
    <w:rsid w:val="6E066A75"/>
    <w:rsid w:val="6E5A7CE9"/>
    <w:rsid w:val="708F684F"/>
    <w:rsid w:val="738A6EA4"/>
    <w:rsid w:val="73C60433"/>
    <w:rsid w:val="747A3606"/>
    <w:rsid w:val="76D13DB0"/>
    <w:rsid w:val="77366885"/>
    <w:rsid w:val="79B976ED"/>
    <w:rsid w:val="79F5428E"/>
    <w:rsid w:val="7A25192F"/>
    <w:rsid w:val="7BF41DC0"/>
    <w:rsid w:val="7DFC1F14"/>
    <w:rsid w:val="7F531DC3"/>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宋体" w:hAnsi="宋体" w:eastAsia="宋体"/>
      <w:sz w:val="21"/>
      <w:szCs w:val="21"/>
    </w:rPr>
  </w:style>
  <w:style w:type="paragraph" w:styleId="4">
    <w:name w:val="Plain Text"/>
    <w:basedOn w:val="1"/>
    <w:qFormat/>
    <w:uiPriority w:val="0"/>
    <w:pPr>
      <w:widowControl/>
      <w:spacing w:before="100" w:beforeAutospacing="1" w:after="100" w:afterAutospacing="1"/>
    </w:pPr>
    <w:rPr>
      <w:color w:val="000000"/>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rPr>
  </w:style>
  <w:style w:type="paragraph" w:styleId="12">
    <w:name w:val="List Paragraph"/>
    <w:basedOn w:val="1"/>
    <w:qFormat/>
    <w:uiPriority w:val="34"/>
    <w:pPr>
      <w:ind w:firstLine="420" w:firstLineChars="200"/>
    </w:pPr>
    <w:rPr>
      <w:rFonts w:ascii="等线" w:hAnsi="等线" w:eastAsia="等线" w:cs="Times New Roman"/>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font0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Words>
  <Characters>1331</Characters>
  <Lines>11</Lines>
  <Paragraphs>3</Paragraphs>
  <TotalTime>1</TotalTime>
  <ScaleCrop>false</ScaleCrop>
  <LinksUpToDate>false</LinksUpToDate>
  <CharactersWithSpaces>1561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叶细婷</cp:lastModifiedBy>
  <cp:lastPrinted>2024-05-27T07:51:00Z</cp:lastPrinted>
  <dcterms:modified xsi:type="dcterms:W3CDTF">2025-08-27T01:36:24Z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