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43" w:type="dxa"/>
        <w:tblInd w:w="-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4760"/>
        <w:gridCol w:w="3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9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择优条件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有效证明材料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29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有效业绩证明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2022年以来，民用航空运输事务领域的法律服务协议关键页。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2022年以来，其他三个领域的法律服务协议关键页。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“协议关键页”是指能够体现双方名称、服务内容、协议期、双方签章的页面，未附协议关键页的业绩证明无效。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民用航空运输事务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领域的法律服务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有效业绩，每份得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分。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其他三个领域的法律服务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有效业绩，每份得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分。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③如一份有效业绩证明同时包含民用航空运输事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务领域和其他领域的法律服务，每份得2分。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注：</w:t>
      </w:r>
    </w:p>
    <w:p>
      <w:pPr>
        <w:numPr>
          <w:ilvl w:val="0"/>
          <w:numId w:val="1"/>
        </w:numP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至多提供10份有效业绩证明，最高得分20分。</w:t>
      </w:r>
    </w:p>
    <w:p>
      <w:pPr>
        <w:rPr>
          <w:rFonts w:hint="eastAsia" w:ascii="宋体" w:hAnsi="宋体" w:eastAsia="宋体" w:cs="宋体"/>
          <w:color w:val="0000FF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当通过资格条件审查的潜在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超过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家时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将按照择优原则，以有效业绩进行评分排序，确定排名靠前的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家潜在供应商为备选供应商。如存在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分一致的情况，则根据202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年度财务报告中主营业务收入由高至低确定优先次序。</w:t>
      </w:r>
    </w:p>
    <w:p>
      <w:pPr>
        <w:pStyle w:val="2"/>
        <w:rPr>
          <w:rFonts w:hint="eastAsia" w:ascii="宋体" w:hAnsi="宋体" w:eastAsia="宋体" w:cs="宋体"/>
          <w:color w:val="0000FF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</w:p>
    <w:sectPr>
      <w:pgSz w:w="11906" w:h="16838"/>
      <w:pgMar w:top="1723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F5DC6"/>
    <w:multiLevelType w:val="singleLevel"/>
    <w:tmpl w:val="62FF5DC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5709"/>
    <w:rsid w:val="01CF1530"/>
    <w:rsid w:val="021374F6"/>
    <w:rsid w:val="03105FB7"/>
    <w:rsid w:val="040556DD"/>
    <w:rsid w:val="043D49C8"/>
    <w:rsid w:val="047C2770"/>
    <w:rsid w:val="04A1478C"/>
    <w:rsid w:val="04F376D7"/>
    <w:rsid w:val="061B41C7"/>
    <w:rsid w:val="07B607C2"/>
    <w:rsid w:val="07CE4903"/>
    <w:rsid w:val="08262DC7"/>
    <w:rsid w:val="085064BB"/>
    <w:rsid w:val="099465C1"/>
    <w:rsid w:val="09BB670D"/>
    <w:rsid w:val="0B423A00"/>
    <w:rsid w:val="0D675FE7"/>
    <w:rsid w:val="0E401087"/>
    <w:rsid w:val="0E92291F"/>
    <w:rsid w:val="0E9E201C"/>
    <w:rsid w:val="0EA955F6"/>
    <w:rsid w:val="0EB85EF4"/>
    <w:rsid w:val="0EF45F77"/>
    <w:rsid w:val="0F2A53B0"/>
    <w:rsid w:val="0F731748"/>
    <w:rsid w:val="100F5723"/>
    <w:rsid w:val="10667D38"/>
    <w:rsid w:val="12371B06"/>
    <w:rsid w:val="13A97603"/>
    <w:rsid w:val="152715FC"/>
    <w:rsid w:val="153367C7"/>
    <w:rsid w:val="154D47EE"/>
    <w:rsid w:val="157F58BB"/>
    <w:rsid w:val="15E63DA7"/>
    <w:rsid w:val="16DB2A80"/>
    <w:rsid w:val="17104CD1"/>
    <w:rsid w:val="177B3EC5"/>
    <w:rsid w:val="183D2073"/>
    <w:rsid w:val="18BB7573"/>
    <w:rsid w:val="1AAC75A9"/>
    <w:rsid w:val="1BB53AF5"/>
    <w:rsid w:val="1CBC2781"/>
    <w:rsid w:val="1D243157"/>
    <w:rsid w:val="1E08390C"/>
    <w:rsid w:val="1FEE1691"/>
    <w:rsid w:val="21ED403A"/>
    <w:rsid w:val="22F60CED"/>
    <w:rsid w:val="23545387"/>
    <w:rsid w:val="23EA0723"/>
    <w:rsid w:val="240B3F2E"/>
    <w:rsid w:val="243A3AA6"/>
    <w:rsid w:val="2442532B"/>
    <w:rsid w:val="2499566F"/>
    <w:rsid w:val="259C2D23"/>
    <w:rsid w:val="27480145"/>
    <w:rsid w:val="27786F71"/>
    <w:rsid w:val="278D1171"/>
    <w:rsid w:val="28F54CC5"/>
    <w:rsid w:val="290736B3"/>
    <w:rsid w:val="29456121"/>
    <w:rsid w:val="29695374"/>
    <w:rsid w:val="297175CB"/>
    <w:rsid w:val="2A384010"/>
    <w:rsid w:val="2AAE5AEE"/>
    <w:rsid w:val="2AFC5E62"/>
    <w:rsid w:val="2B710850"/>
    <w:rsid w:val="2BDD61B3"/>
    <w:rsid w:val="2C5D4810"/>
    <w:rsid w:val="2E1D2688"/>
    <w:rsid w:val="2E9D761C"/>
    <w:rsid w:val="2EA2126E"/>
    <w:rsid w:val="2EF50914"/>
    <w:rsid w:val="30D22C32"/>
    <w:rsid w:val="31E36630"/>
    <w:rsid w:val="323F09BF"/>
    <w:rsid w:val="33501A64"/>
    <w:rsid w:val="336E6C98"/>
    <w:rsid w:val="34467142"/>
    <w:rsid w:val="34BC4A91"/>
    <w:rsid w:val="35603DB6"/>
    <w:rsid w:val="356F7C38"/>
    <w:rsid w:val="36C53ADD"/>
    <w:rsid w:val="36DF19E5"/>
    <w:rsid w:val="36FE604C"/>
    <w:rsid w:val="386E6A71"/>
    <w:rsid w:val="39533145"/>
    <w:rsid w:val="399C7702"/>
    <w:rsid w:val="3BA117F2"/>
    <w:rsid w:val="3CBD0F56"/>
    <w:rsid w:val="3CC1638C"/>
    <w:rsid w:val="3E7B06AA"/>
    <w:rsid w:val="3EA00135"/>
    <w:rsid w:val="3FDE4C52"/>
    <w:rsid w:val="3FE41DE6"/>
    <w:rsid w:val="40D37B25"/>
    <w:rsid w:val="40D52508"/>
    <w:rsid w:val="40DC31FF"/>
    <w:rsid w:val="40E10A83"/>
    <w:rsid w:val="424F07B0"/>
    <w:rsid w:val="45192C21"/>
    <w:rsid w:val="45822DFA"/>
    <w:rsid w:val="45A011F4"/>
    <w:rsid w:val="45F96A3A"/>
    <w:rsid w:val="46A42AC2"/>
    <w:rsid w:val="47174020"/>
    <w:rsid w:val="472E3B2E"/>
    <w:rsid w:val="47951D5D"/>
    <w:rsid w:val="47A7659F"/>
    <w:rsid w:val="49446AC0"/>
    <w:rsid w:val="49952D14"/>
    <w:rsid w:val="49960D31"/>
    <w:rsid w:val="4A0328CB"/>
    <w:rsid w:val="4B342571"/>
    <w:rsid w:val="4B4C50A7"/>
    <w:rsid w:val="4B8E3F95"/>
    <w:rsid w:val="4B98749A"/>
    <w:rsid w:val="4BA17F2B"/>
    <w:rsid w:val="4BB01057"/>
    <w:rsid w:val="4C3B0A4D"/>
    <w:rsid w:val="4CC50B0F"/>
    <w:rsid w:val="4DDF21A8"/>
    <w:rsid w:val="4DF9775B"/>
    <w:rsid w:val="4F153780"/>
    <w:rsid w:val="4F5709C5"/>
    <w:rsid w:val="4F5B7677"/>
    <w:rsid w:val="4FFB2C38"/>
    <w:rsid w:val="50E5221B"/>
    <w:rsid w:val="51B0727C"/>
    <w:rsid w:val="51BC7755"/>
    <w:rsid w:val="51C723D6"/>
    <w:rsid w:val="52E70799"/>
    <w:rsid w:val="547346C4"/>
    <w:rsid w:val="560954E6"/>
    <w:rsid w:val="57C31E79"/>
    <w:rsid w:val="584D2543"/>
    <w:rsid w:val="58E63398"/>
    <w:rsid w:val="58FD72D5"/>
    <w:rsid w:val="593522EE"/>
    <w:rsid w:val="595B539D"/>
    <w:rsid w:val="597D47F7"/>
    <w:rsid w:val="5CE3270F"/>
    <w:rsid w:val="5ED237BF"/>
    <w:rsid w:val="5F34000A"/>
    <w:rsid w:val="61EE6934"/>
    <w:rsid w:val="624C37E6"/>
    <w:rsid w:val="62BD45C5"/>
    <w:rsid w:val="62FF5CCE"/>
    <w:rsid w:val="632F33EE"/>
    <w:rsid w:val="632F713D"/>
    <w:rsid w:val="643B5D1F"/>
    <w:rsid w:val="65252CCB"/>
    <w:rsid w:val="65734490"/>
    <w:rsid w:val="66327CC1"/>
    <w:rsid w:val="67794093"/>
    <w:rsid w:val="67E67952"/>
    <w:rsid w:val="68543CB4"/>
    <w:rsid w:val="68CD092B"/>
    <w:rsid w:val="68F66410"/>
    <w:rsid w:val="693C5BAE"/>
    <w:rsid w:val="6B8B34BD"/>
    <w:rsid w:val="6BE43CB6"/>
    <w:rsid w:val="6C805ED5"/>
    <w:rsid w:val="6C961F1B"/>
    <w:rsid w:val="6D676270"/>
    <w:rsid w:val="6DA520C9"/>
    <w:rsid w:val="6DD2198E"/>
    <w:rsid w:val="6F511E0B"/>
    <w:rsid w:val="6FB17A25"/>
    <w:rsid w:val="701B6FA4"/>
    <w:rsid w:val="727441E7"/>
    <w:rsid w:val="72E13FB6"/>
    <w:rsid w:val="736600CA"/>
    <w:rsid w:val="74587709"/>
    <w:rsid w:val="745D4239"/>
    <w:rsid w:val="746C2D42"/>
    <w:rsid w:val="7497244F"/>
    <w:rsid w:val="77CA5813"/>
    <w:rsid w:val="78915A2B"/>
    <w:rsid w:val="79171F2B"/>
    <w:rsid w:val="79BA6445"/>
    <w:rsid w:val="7A8529F0"/>
    <w:rsid w:val="7AD33F4F"/>
    <w:rsid w:val="7AE5EA48"/>
    <w:rsid w:val="7B1766F2"/>
    <w:rsid w:val="7B413E41"/>
    <w:rsid w:val="7C4C5395"/>
    <w:rsid w:val="7C5E10C4"/>
    <w:rsid w:val="7DF55503"/>
    <w:rsid w:val="7E8A277F"/>
    <w:rsid w:val="7ED7DD61"/>
    <w:rsid w:val="7F3A3D02"/>
    <w:rsid w:val="7F5504CF"/>
    <w:rsid w:val="7F831DCC"/>
    <w:rsid w:val="EDFBD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447</Characters>
  <Lines>0</Lines>
  <Paragraphs>0</Paragraphs>
  <TotalTime>14</TotalTime>
  <ScaleCrop>false</ScaleCrop>
  <LinksUpToDate>false</LinksUpToDate>
  <CharactersWithSpaces>448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2023-11-17T08:51:00Z</dcterms:created>
  <dc:creator>Administrator</dc:creator>
  <cp:lastModifiedBy>杨思惟</cp:lastModifiedBy>
  <dcterms:modified xsi:type="dcterms:W3CDTF">2025-07-16T01:32:45Z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E85A391E7FCB4683945E5836DCE5C926_13</vt:lpwstr>
  </property>
  <property fmtid="{D5CDD505-2E9C-101B-9397-08002B2CF9AE}" pid="4" name="KSOTemplateDocerSaveRecord">
    <vt:lpwstr>eyJoZGlkIjoiNzljNzgzYmVkMjlhZjE4NjRiZWMyY2VjMGU0MmFiODUifQ==</vt:lpwstr>
  </property>
</Properties>
</file>