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/>
        </w:rPr>
        <w:t>“上海品牌”认证项目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根据《中翼航空投资有限公司标准采购管理规程》，上海中航航空食品有限公司相关采购管理规定，该项目已具备采购条件。采购申请如下：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上海中航航空食品有限公司“上海品牌”认证项目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交付地点：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浦东新区领航路100号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自合同签订之日至2028年底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合同生效之日起30个工作日内，支付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项目总金额的40%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；获得“上海品牌”证书后，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支付项目总金额的40%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；获证后第二年监督前，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支付项目总金额的10%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；获证后第三年监督前，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支付项目总金额的10%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服务内容和要求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根据市委市政府对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</w:rPr>
        <w:t>上海品牌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</w:rPr>
        <w:t>高标准、严要求的精神，基于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color w:val="auto"/>
          <w:sz w:val="32"/>
          <w:szCs w:val="32"/>
        </w:rPr>
        <w:t>上海品牌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</w:rPr>
        <w:t>认证的定位及要求，为</w:t>
      </w:r>
      <w:r>
        <w:rPr>
          <w:rFonts w:hint="eastAsia" w:ascii="仿宋" w:hAnsi="仿宋" w:eastAsia="仿宋" w:cstheme="minorBidi"/>
          <w:b w:val="0"/>
          <w:color w:val="auto"/>
          <w:kern w:val="2"/>
          <w:sz w:val="32"/>
          <w:szCs w:val="32"/>
          <w:lang w:val="en-US" w:eastAsia="zh-CN" w:bidi="ar-SA"/>
        </w:rPr>
        <w:t>上海中航航空食品有限公司（以下简称“我司”）</w:t>
      </w:r>
      <w:r>
        <w:rPr>
          <w:rFonts w:hint="eastAsia" w:ascii="仿宋" w:hAnsi="仿宋" w:eastAsia="仿宋"/>
          <w:color w:val="auto"/>
          <w:sz w:val="32"/>
          <w:szCs w:val="32"/>
        </w:rPr>
        <w:t>提供的服务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color w:val="auto"/>
          <w:sz w:val="32"/>
          <w:szCs w:val="32"/>
        </w:rPr>
        <w:t>满足国内领先、国际一流的标准要求，技术服务内容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和要求</w:t>
      </w:r>
      <w:r>
        <w:rPr>
          <w:rFonts w:hint="eastAsia" w:ascii="仿宋" w:hAnsi="仿宋" w:eastAsia="仿宋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围绕“上海品牌”对企业自主创新、品质卓越、管理精细、品牌引领、社会责任的基本要求，指导</w:t>
      </w:r>
      <w:r>
        <w:rPr>
          <w:rFonts w:hint="eastAsia" w:ascii="仿宋" w:hAnsi="仿宋" w:eastAsia="仿宋" w:cstheme="minorBidi"/>
          <w:b w:val="0"/>
          <w:color w:val="auto"/>
          <w:kern w:val="2"/>
          <w:sz w:val="32"/>
          <w:szCs w:val="32"/>
          <w:lang w:val="en-US" w:eastAsia="zh-CN" w:bidi="ar-SA"/>
        </w:rPr>
        <w:t>我司</w:t>
      </w:r>
      <w:r>
        <w:rPr>
          <w:rFonts w:hint="eastAsia" w:ascii="仿宋" w:hAnsi="仿宋" w:eastAsia="仿宋"/>
          <w:color w:val="auto"/>
          <w:sz w:val="32"/>
          <w:szCs w:val="32"/>
        </w:rPr>
        <w:t>完成自我评估；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 w:cstheme="minorBidi"/>
          <w:b w:val="0"/>
          <w:color w:val="auto"/>
          <w:kern w:val="2"/>
          <w:sz w:val="32"/>
          <w:szCs w:val="32"/>
          <w:lang w:val="en-US" w:eastAsia="zh-CN" w:bidi="ar-SA"/>
        </w:rPr>
        <w:t>我司</w:t>
      </w:r>
      <w:r>
        <w:rPr>
          <w:rFonts w:hint="eastAsia" w:ascii="仿宋" w:hAnsi="仿宋" w:eastAsia="仿宋"/>
          <w:color w:val="auto"/>
          <w:sz w:val="32"/>
          <w:szCs w:val="32"/>
        </w:rPr>
        <w:t>编制满足上海品牌认证要求的团体标准；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 w:cstheme="minorBidi"/>
          <w:b w:val="0"/>
          <w:color w:val="auto"/>
          <w:kern w:val="2"/>
          <w:sz w:val="32"/>
          <w:szCs w:val="32"/>
          <w:lang w:val="en-US" w:eastAsia="zh-CN" w:bidi="ar-SA"/>
        </w:rPr>
        <w:t>我司</w:t>
      </w:r>
      <w:r>
        <w:rPr>
          <w:rFonts w:hint="eastAsia" w:ascii="仿宋" w:hAnsi="仿宋" w:eastAsia="仿宋"/>
          <w:color w:val="auto"/>
          <w:sz w:val="32"/>
          <w:szCs w:val="32"/>
        </w:rPr>
        <w:t>完成团体标准的立项、技术审查和发布程序；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 w:cstheme="minorBidi"/>
          <w:b w:val="0"/>
          <w:color w:val="auto"/>
          <w:kern w:val="2"/>
          <w:sz w:val="32"/>
          <w:szCs w:val="32"/>
          <w:lang w:val="en-US" w:eastAsia="zh-CN" w:bidi="ar-SA"/>
        </w:rPr>
        <w:t>我司</w:t>
      </w:r>
      <w:r>
        <w:rPr>
          <w:rFonts w:hint="eastAsia" w:ascii="仿宋" w:hAnsi="仿宋" w:eastAsia="仿宋"/>
          <w:color w:val="auto"/>
          <w:sz w:val="32"/>
          <w:szCs w:val="32"/>
        </w:rPr>
        <w:t>完成团体标准的先进性评价程序；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认证实施，包括服务管理的文件审查、服务过程的体验测评、服务结果的调查评估，现场审查地点最终由双方协商选取确定。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三、服务标准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与验收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（一）业务范围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lang w:val="en-US" w:eastAsia="zh-CN"/>
        </w:rPr>
        <w:t>通过“上海品牌”认证并获得“上海品牌”认证证书，具体包括：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我司</w:t>
      </w:r>
      <w:r>
        <w:rPr>
          <w:rFonts w:ascii="仿宋" w:hAnsi="仿宋" w:eastAsia="仿宋"/>
          <w:color w:val="auto"/>
          <w:sz w:val="32"/>
          <w:szCs w:val="32"/>
        </w:rPr>
        <w:t>按照</w:t>
      </w:r>
      <w:r>
        <w:rPr>
          <w:rFonts w:hint="eastAsia" w:ascii="仿宋" w:hAnsi="仿宋" w:eastAsia="仿宋"/>
          <w:color w:val="auto"/>
          <w:sz w:val="32"/>
          <w:szCs w:val="32"/>
        </w:rPr>
        <w:t>“</w:t>
      </w:r>
      <w:r>
        <w:rPr>
          <w:rFonts w:ascii="仿宋" w:hAnsi="仿宋" w:eastAsia="仿宋"/>
          <w:color w:val="auto"/>
          <w:sz w:val="32"/>
          <w:szCs w:val="32"/>
        </w:rPr>
        <w:t>上海品牌评价通用要求</w:t>
      </w:r>
      <w:r>
        <w:rPr>
          <w:rFonts w:hint="eastAsia" w:ascii="仿宋" w:hAnsi="仿宋" w:eastAsia="仿宋"/>
          <w:color w:val="auto"/>
          <w:sz w:val="32"/>
          <w:szCs w:val="32"/>
        </w:rPr>
        <w:t>”完成自</w:t>
      </w:r>
      <w:r>
        <w:rPr>
          <w:rFonts w:ascii="仿宋" w:hAnsi="仿宋" w:eastAsia="仿宋"/>
          <w:color w:val="auto"/>
          <w:sz w:val="32"/>
          <w:szCs w:val="32"/>
        </w:rPr>
        <w:t>评报告</w:t>
      </w:r>
      <w:r>
        <w:rPr>
          <w:rFonts w:hint="eastAsia" w:ascii="仿宋" w:hAnsi="仿宋" w:eastAsia="仿宋"/>
          <w:color w:val="auto"/>
          <w:sz w:val="32"/>
          <w:szCs w:val="32"/>
        </w:rPr>
        <w:t>，通过标杆组织评价；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我司</w:t>
      </w:r>
      <w:r>
        <w:rPr>
          <w:rFonts w:ascii="仿宋" w:hAnsi="仿宋" w:eastAsia="仿宋"/>
          <w:color w:val="auto"/>
          <w:sz w:val="32"/>
          <w:szCs w:val="32"/>
        </w:rPr>
        <w:t>编制</w:t>
      </w:r>
      <w:r>
        <w:rPr>
          <w:rFonts w:hint="eastAsia" w:ascii="仿宋" w:hAnsi="仿宋" w:eastAsia="仿宋"/>
          <w:color w:val="auto"/>
          <w:sz w:val="32"/>
          <w:szCs w:val="32"/>
        </w:rPr>
        <w:t>团体标准及相关文件，通过标准审定，发布团体标准</w:t>
      </w:r>
      <w:r>
        <w:rPr>
          <w:rFonts w:ascii="仿宋" w:hAnsi="仿宋" w:eastAsia="仿宋"/>
          <w:color w:val="auto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" w:hAnsi="仿宋" w:eastAsia="仿宋"/>
          <w:color w:val="auto"/>
          <w:sz w:val="32"/>
          <w:szCs w:val="32"/>
        </w:rPr>
        <w:t>编制标准先进性评审所需材料，通过标准先进性评审；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完成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/>
          <w:color w:val="auto"/>
          <w:sz w:val="32"/>
          <w:szCs w:val="32"/>
        </w:rPr>
        <w:t>管理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/>
          <w:color w:val="auto"/>
          <w:sz w:val="32"/>
          <w:szCs w:val="32"/>
        </w:rPr>
        <w:t>及服务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特性</w:t>
      </w:r>
      <w:r>
        <w:rPr>
          <w:rFonts w:hint="eastAsia" w:ascii="仿宋" w:hAnsi="仿宋" w:eastAsia="仿宋"/>
          <w:color w:val="auto"/>
          <w:sz w:val="32"/>
          <w:szCs w:val="32"/>
        </w:rPr>
        <w:t>测评，编制测评报告；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其他双方基于本项目合作开展的成果。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工作期限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自合同签订之日起至取得“上海品牌”认证证书，及证书有效期内。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、双方的权利与义务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的权利与义务: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在实施认证前，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有权向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明确保密要求和/或特殊要求。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按合同约定向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支付费用。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始终遵守认证有关规定，配合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认证工作，按认证活动进展情况或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通知，及时向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信息相关的文件资料，并确保文件资料的真实、准确、完整、合法和有效性。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项目开展过程中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所需的工作条件。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按照规定正确使用认证证书和“上品”标志。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6.我司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有权宣传获准认证的事实，享有由于获准认证以及使用“上品”标志取得的经济利益。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证书有效期内对认证证书的相关信息若有变更，及时向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获证后应持续满足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上海品牌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遵守认证认可相关法律法规，协助认证监管部门的监督检查，对有关事项的询问和调查如实提供相关材料和信息。 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不规范的认证行为有权提出申诉或投诉。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的权利与义务: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严格按照《“上海品牌”服务认证实施规则》和《“上海品牌”评价通用要求》的有关规定，独立、公正、客观地提供认证服务。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提供资格证明文件及有关公开性文件。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及时组织实施认证工作，在认证范围内按认证程序和管理规定进行审核和认证决定。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通过审核和检验检测证明产品满足认证要求，应及时向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签发认证证书，纳入获证企业名录予以公布。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在认证过程中，通过审核和检验检测证明产品未能满足认证要求或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不能及时完成不符合项整改，有权终止认证。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对认证结论的正确性负责。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的获准、暂停、恢复、注销、撤销的认证资格状态。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当认证法规、认证标准发生变化时及时通知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，验证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是否符合新的认证要求。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遵守公正性与保密声明，承诺对认证过程所涉及到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商业及技术信息予以保密，以下信息除外：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a）公开的信息；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b）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书面允许不予保密的信息；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c）法律程序要求提供的信息；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d）国家主管部门有强制要求时。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遵守认证认可相关法律法规，协助认证监管部门的监督检查，对有关事项的询问和调查如实提供相关材料和信息。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供应商资质要求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供应商应为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独立法人或其他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合法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且为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  <w:lang w:bidi="ar-SA"/>
        </w:rPr>
        <w:t>上海品牌国际认证联盟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 w:bidi="ar-SA"/>
        </w:rPr>
        <w:t>的正式成员。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6719C"/>
    <w:multiLevelType w:val="singleLevel"/>
    <w:tmpl w:val="C02671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306398"/>
    <w:multiLevelType w:val="singleLevel"/>
    <w:tmpl w:val="FB306398"/>
    <w:lvl w:ilvl="0" w:tentative="0">
      <w:start w:val="1"/>
      <w:numFmt w:val="decimal"/>
      <w:suff w:val="nothing"/>
      <w:lvlText w:val="%1."/>
      <w:lvlJc w:val="left"/>
      <w:rPr>
        <w:rFonts w:hint="default" w:ascii="仿宋" w:hAnsi="仿宋" w:eastAsia="仿宋" w:cs="仿宋"/>
      </w:rPr>
    </w:lvl>
  </w:abstractNum>
  <w:abstractNum w:abstractNumId="2">
    <w:nsid w:val="098C43F3"/>
    <w:multiLevelType w:val="singleLevel"/>
    <w:tmpl w:val="098C43F3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2E181BD"/>
    <w:multiLevelType w:val="singleLevel"/>
    <w:tmpl w:val="42E181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E7A9ED4"/>
    <w:multiLevelType w:val="singleLevel"/>
    <w:tmpl w:val="5E7A9E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664A063"/>
    <w:multiLevelType w:val="singleLevel"/>
    <w:tmpl w:val="7664A063"/>
    <w:lvl w:ilvl="0" w:tentative="0">
      <w:start w:val="1"/>
      <w:numFmt w:val="decimal"/>
      <w:suff w:val="nothing"/>
      <w:lvlText w:val="%1."/>
      <w:lvlJc w:val="left"/>
      <w:rPr>
        <w:rFonts w:hint="default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4E96"/>
    <w:rsid w:val="016B30C8"/>
    <w:rsid w:val="02F207AD"/>
    <w:rsid w:val="045E49E2"/>
    <w:rsid w:val="04931C6F"/>
    <w:rsid w:val="056C5774"/>
    <w:rsid w:val="05E1746B"/>
    <w:rsid w:val="07A1580C"/>
    <w:rsid w:val="08103496"/>
    <w:rsid w:val="085E338D"/>
    <w:rsid w:val="0A250044"/>
    <w:rsid w:val="0D004E76"/>
    <w:rsid w:val="16330EC3"/>
    <w:rsid w:val="19BD7B6E"/>
    <w:rsid w:val="1BE40871"/>
    <w:rsid w:val="223649F1"/>
    <w:rsid w:val="22A33893"/>
    <w:rsid w:val="22C1491C"/>
    <w:rsid w:val="25787833"/>
    <w:rsid w:val="25CA0B59"/>
    <w:rsid w:val="263778DB"/>
    <w:rsid w:val="27B55A42"/>
    <w:rsid w:val="282542D7"/>
    <w:rsid w:val="2DB66023"/>
    <w:rsid w:val="317B1761"/>
    <w:rsid w:val="32E51E7D"/>
    <w:rsid w:val="35F71685"/>
    <w:rsid w:val="3C933D53"/>
    <w:rsid w:val="3F8E35B0"/>
    <w:rsid w:val="40BD3716"/>
    <w:rsid w:val="417067BC"/>
    <w:rsid w:val="43524F00"/>
    <w:rsid w:val="440F0F11"/>
    <w:rsid w:val="497046EC"/>
    <w:rsid w:val="4A0D3431"/>
    <w:rsid w:val="4BE87A6D"/>
    <w:rsid w:val="4D142196"/>
    <w:rsid w:val="4E1F11AD"/>
    <w:rsid w:val="50DA36E1"/>
    <w:rsid w:val="51481AC9"/>
    <w:rsid w:val="526648B9"/>
    <w:rsid w:val="5476274C"/>
    <w:rsid w:val="56612324"/>
    <w:rsid w:val="582E6423"/>
    <w:rsid w:val="59B065A6"/>
    <w:rsid w:val="5A264BE4"/>
    <w:rsid w:val="5C0619E7"/>
    <w:rsid w:val="608C4E91"/>
    <w:rsid w:val="62450D3D"/>
    <w:rsid w:val="640E4DA3"/>
    <w:rsid w:val="65F7621B"/>
    <w:rsid w:val="66B5464F"/>
    <w:rsid w:val="6D77467D"/>
    <w:rsid w:val="711115A3"/>
    <w:rsid w:val="71BA17A0"/>
    <w:rsid w:val="742C4A89"/>
    <w:rsid w:val="78C53028"/>
    <w:rsid w:val="7A8A24D1"/>
    <w:rsid w:val="7B824ED5"/>
    <w:rsid w:val="7FD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1712</Words>
  <Characters>1753</Characters>
  <Lines>0</Lines>
  <Paragraphs>0</Paragraphs>
  <TotalTime>0</TotalTime>
  <ScaleCrop>false</ScaleCrop>
  <LinksUpToDate>false</LinksUpToDate>
  <CharactersWithSpaces>1760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2024-12-20T01:43:00Z</dcterms:created>
  <dc:creator>Warehouse6</dc:creator>
  <cp:lastModifiedBy>徐茹玉</cp:lastModifiedBy>
  <cp:lastPrinted>2025-07-11T02:52:00Z</cp:lastPrinted>
  <dcterms:modified xsi:type="dcterms:W3CDTF">2025-07-14T06:15:11Z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eyJoZGlkIjoiMzE2MzIxMzkxZjVmZDViNDcyNGQ5MjgyNDFiZWExNTYiLCJ1c2VySWQiOiIxOTc0MjE2NTMifQ==</vt:lpwstr>
  </property>
  <property fmtid="{D5CDD505-2E9C-101B-9397-08002B2CF9AE}" pid="4" name="ICV">
    <vt:lpwstr>6292D29B96F7461DB58BBD5562DD46F9_13</vt:lpwstr>
  </property>
</Properties>
</file>