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</w:pPr>
      <w:bookmarkStart w:id="0" w:name="_Toc17489"/>
      <w:bookmarkStart w:id="1" w:name="_Toc30046"/>
      <w:bookmarkStart w:id="2" w:name="_Toc29623"/>
      <w:bookmarkStart w:id="3" w:name="_Toc5539"/>
      <w:bookmarkStart w:id="4" w:name="_Toc5907"/>
      <w:bookmarkStart w:id="5" w:name="_Toc8164"/>
      <w:bookmarkStart w:id="6" w:name="_Toc7896"/>
      <w:bookmarkStart w:id="7" w:name="_Toc25253"/>
      <w:bookmarkStart w:id="8" w:name="_Toc8940"/>
      <w:r>
        <w:rPr>
          <w:rFonts w:hint="eastAsia" w:ascii="楷体_GB2312" w:hAnsi="楷体_GB2312" w:eastAsia="楷体_GB2312" w:cs="楷体_GB2312"/>
          <w:b/>
          <w:bCs w:val="0"/>
          <w:sz w:val="36"/>
          <w:szCs w:val="36"/>
          <w:lang w:eastAsia="zh-CN"/>
        </w:rPr>
        <w:t>供应商不良行为分类及处理措施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3"/>
        <w:rPr>
          <w:rFonts w:hint="eastAsia"/>
          <w:lang w:eastAsia="zh-CN"/>
        </w:rPr>
      </w:pP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28"/>
          <w:lang w:val="en-US" w:eastAsia="zh-CN" w:bidi="ar-SA"/>
        </w:rPr>
        <w:t>根据供应商不良行为对生产运营、采购活动、公司形象等造成的负面影响和经济损失程度，将不良行为分为一级不良行为、二级不良行为和三级不良行为。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一级不良行为界定范围：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1.在采购活动中供应商相互串通或者与采购人及采购相关方串通，妨碍其他供应商竞争，对采购项目造成重大影响的行为，包括但不限于：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（1）相互协商报价、技术方案等实质性内容，不同供应商的响应文件异常一致或者报价呈规律性差异；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（2）不同供应商的响应文件由同一单位或者个人编制，不同供应商的响应文件载明的联系人员为同一人，不同供应商委托同一单位或者个人办理相关事宜，不同供应商的保证金从同一单位或者个人的账户转出；</w:t>
      </w:r>
    </w:p>
    <w:p>
      <w:pPr>
        <w:spacing w:line="336" w:lineRule="auto"/>
        <w:ind w:firstLine="640" w:firstLineChars="200"/>
        <w:rPr>
          <w:rFonts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（3）不同供应商的响应文件相互混装；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（4）约定中选人，约定部分供应商放弃参加采购或者中选；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（5）属于同一集团、协会、商会等组织成员的供应商按照该组织要求协同参与采购项目；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（6）为谋取中选或者排斥特定供应商而采取联合行动；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（7）非法获知标底或评审委员会成员信息；</w:t>
      </w:r>
    </w:p>
    <w:p>
      <w:pPr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（8）其他视为供应商串通的情况。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2.对采购人或其他供应商进行恶意诋毁、恶意投诉、威胁、欺骗等行为，对采购项目造成重大影响的；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3.供应商恶意扰乱谈判现场等影响采购活动有序进行等行为，对采购项目造成重大影响的；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4.供应商接到中选（成交、中标）通知书后，无正当理由拒绝签署合同，或单方面要求放弃中选（成交、中标）资格，或不按响应文件及澄清内容承诺签订合同,对采购项目造成重大影响的；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9" w:name="_GoBack"/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对于供应商在与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中航集团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各级成员企业投标及履行合同过程中，因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集团人员索贿而行贿的，所送钱物价值在2 万元（含）以上不足3 万元的；或主动行贿，所送钱物价值在1 万元（含）以上不足3 万元的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.其他经公司认定为一级不良行为的情况。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被列入一级不良行为的供应商，自列入之日起禁止参与公司范围内所有采购项目5年，供应商在参加采购期间发生不良行为的，应取消参与本次采购项目的资格及中选（成交、中标）资格。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（二）二级不良行为界定范围：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采购活动中供应商故意以他人名义参加采购，或供应商资格审查、准入等资质材料经核实弄虚作假的，包括但不限于使用伪造变造的许可证件，提供虚假的财务状况或者业绩，提供虚假的项目负责人或者主要技术人员简历、劳动关系证明，提供虚假的信用状况以及与检测单位串通伪造检测结果等行为，对采购项目造成严重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2.供应商响应文件内容经查实弄虚作假的，或者恶意修改采购文件明确列明的技术参数并进行响应，对采购项目造成严重影响的；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3.供应商提供虚假材料或者以非法手段获得证明材料进行恶意投诉、恶意质疑，对采购项目造成严重影响的；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对于供应商在与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集团各级成员企业投标及履行合同过程中，因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集团人员索贿而行贿的，所送钱物价值在1 万元（含）以上不足2 万元的；或主动行贿，所送钱物价值在5000 元（含）以上不足1 万元的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.其他经公司认定为二级不良行为的情况。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被列入二级不良行为的供应商，自列入之日起禁止参与公司范围内所有采购项目3年，供应商在参加采购期间发生不良行为的，应取消参与本次采购项目的资格及中选（成交、中标）资格。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（三）三级不良行为界定范围：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供应商参与采购项目时，一年内2次（含）以上，递交响应文件后，无正当理由放弃参与采购项目、无正当理由放弃应标或谈判等，对采购项目造成一定影响的，其中采购实施单位依据采购文件要求扣除（不退还）投标/谈判保证金的情形除外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2.供应商收到中选（成交、中标）通知书后，因自身原因未能按时签订合同，给公司正常业务造成一定影响的，其中采购实施单位（合同承办单位）依据合同要求已扣除履约保证金的情形除外；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3.因供应商责任引发不稳定事件，或因不良事件经新闻媒介曝光，给公司带来一定负面影响的；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对于供应商在与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集团各级成员企业投标及履行合同过程中，因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中航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集团人员索贿而行贿的，所送钱物价值不足1 万元的；或主动行贿所送钱物价值不足5000 元的</w:t>
      </w:r>
      <w:r>
        <w:rPr>
          <w:rFonts w:hint="eastAsia" w:ascii="仿宋_GB2312" w:hAnsi="Times New Roman" w:eastAsia="仿宋_GB2312" w:cs="仿宋_GB2312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bookmarkEnd w:id="9"/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</w:rPr>
        <w:t>.其他经公司认定为三级不良行为的情况。</w:t>
      </w:r>
    </w:p>
    <w:p>
      <w:pPr>
        <w:spacing w:line="336" w:lineRule="auto"/>
        <w:ind w:firstLine="640" w:firstLineChars="200"/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/>
        </w:rPr>
        <w:t>被列入三级不良行为的供应商，自列入之日起禁止参与本单位范围内采购项目1年，供应商在参加采购期间发生不良行为的，应取消参与本次采购项目的资格及中选（成交、中标）资格。</w:t>
      </w:r>
    </w:p>
    <w:p>
      <w:pPr>
        <w:spacing w:line="336" w:lineRule="auto"/>
        <w:rPr>
          <w:rFonts w:hint="eastAsia" w:ascii="仿宋_GB2312" w:hAnsi="Times New Roman" w:eastAsia="仿宋_GB2312" w:cs="仿宋_GB2312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FE55CF"/>
    <w:rsid w:val="1C5C4673"/>
    <w:rsid w:val="1E890B1F"/>
    <w:rsid w:val="2AE523DA"/>
    <w:rsid w:val="37F647CD"/>
    <w:rsid w:val="3A251CCF"/>
    <w:rsid w:val="401F5819"/>
    <w:rsid w:val="40AD796E"/>
    <w:rsid w:val="415F223E"/>
    <w:rsid w:val="42FA6857"/>
    <w:rsid w:val="54174045"/>
    <w:rsid w:val="5AB36E3C"/>
    <w:rsid w:val="71E15598"/>
    <w:rsid w:val="76BC11CE"/>
    <w:rsid w:val="78C06AC6"/>
    <w:rsid w:val="79482CF2"/>
    <w:rsid w:val="7CCE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360" w:lineRule="auto"/>
      <w:ind w:left="4234" w:hanging="4234"/>
      <w:jc w:val="left"/>
      <w:outlineLvl w:val="1"/>
    </w:pPr>
    <w:rPr>
      <w:rFonts w:ascii="Arial" w:hAnsi="Arial" w:eastAsia="华文中宋"/>
      <w:bCs/>
      <w:kern w:val="44"/>
      <w:sz w:val="32"/>
      <w:szCs w:val="32"/>
    </w:rPr>
  </w:style>
  <w:style w:type="paragraph" w:styleId="4">
    <w:name w:val="heading 3"/>
    <w:basedOn w:val="1"/>
    <w:next w:val="3"/>
    <w:qFormat/>
    <w:uiPriority w:val="0"/>
    <w:pPr>
      <w:keepNext/>
      <w:keepLines/>
      <w:spacing w:line="360" w:lineRule="auto"/>
      <w:outlineLvl w:val="2"/>
    </w:pPr>
    <w:rPr>
      <w:rFonts w:ascii="仿宋_GB2312" w:hAnsi="Arial" w:eastAsia="仿宋_GB2312"/>
      <w:bCs/>
      <w:kern w:val="44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样式 首行缩进:  2字符"/>
    <w:basedOn w:val="1"/>
    <w:qFormat/>
    <w:uiPriority w:val="0"/>
    <w:pPr>
      <w:spacing w:line="360" w:lineRule="auto"/>
      <w:ind w:firstLine="480" w:firstLineChars="200"/>
    </w:pPr>
    <w:rPr>
      <w:rFonts w:ascii="仿宋_GB2312" w:hAnsi="仿宋_GB2312" w:eastAsia="仿宋_GB2312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陈虹玲</cp:lastModifiedBy>
  <dcterms:modified xsi:type="dcterms:W3CDTF">2024-05-20T09:46:53Z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