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1760" w:firstLineChars="400"/>
        <w:jc w:val="both"/>
        <w:textAlignment w:val="auto"/>
        <w:rPr>
          <w:rFonts w:hint="eastAsia" w:ascii="方正小标宋简体" w:eastAsia="方正小标宋简体" w:cs="仿宋_GB2312" w:hAnsiTheme="minorHAnsi"/>
          <w:kern w:val="0"/>
          <w:sz w:val="44"/>
          <w:szCs w:val="44"/>
          <w:lang w:val="en-US" w:eastAsia="zh-CN"/>
        </w:rPr>
      </w:pPr>
      <w:r>
        <w:rPr>
          <w:rFonts w:hint="eastAsia" w:ascii="方正小标宋简体" w:eastAsia="方正小标宋简体" w:cs="仿宋_GB2312" w:hAnsiTheme="minorHAnsi"/>
          <w:kern w:val="0"/>
          <w:sz w:val="44"/>
          <w:szCs w:val="44"/>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eastAsia="方正小标宋简体" w:cs="仿宋_GB2312" w:hAnsiTheme="minorHAnsi"/>
          <w:kern w:val="0"/>
          <w:sz w:val="44"/>
          <w:szCs w:val="44"/>
          <w:lang w:val="en-US" w:eastAsia="zh-CN"/>
        </w:rPr>
      </w:pPr>
      <w:r>
        <w:rPr>
          <w:rFonts w:hint="eastAsia" w:ascii="方正小标宋简体" w:eastAsia="方正小标宋简体" w:cs="仿宋_GB2312" w:hAnsiTheme="minorHAnsi"/>
          <w:kern w:val="0"/>
          <w:sz w:val="44"/>
          <w:szCs w:val="44"/>
          <w:lang w:val="en-US" w:eastAsia="zh-CN"/>
        </w:rPr>
        <w:t>浦东厂区绿化养护服务项目采购需求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上海中航航空食品有限公司</w:t>
      </w:r>
      <w:r>
        <w:rPr>
          <w:rFonts w:hint="eastAsia" w:ascii="仿宋_GB2312" w:hAnsi="微软雅黑" w:eastAsia="仿宋_GB2312" w:cs="微软雅黑"/>
          <w:color w:val="000000" w:themeColor="text1"/>
          <w:kern w:val="0"/>
          <w:sz w:val="32"/>
          <w:szCs w:val="32"/>
          <w14:textFill>
            <w14:solidFill>
              <w14:schemeClr w14:val="tx1"/>
            </w14:solidFill>
          </w14:textFill>
        </w:rPr>
        <w:t>采购管理规定，该项目已具备采购条件。采购申请具体如下：</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黑体" w:hAnsi="黑体" w:eastAsia="黑体" w:cs="微软雅黑"/>
          <w:color w:val="000000" w:themeColor="text1"/>
          <w:kern w:val="0"/>
          <w:sz w:val="32"/>
          <w:szCs w:val="32"/>
          <w:lang w:val="en-US" w:eastAsia="zh-CN" w:bidi="ar-SA"/>
          <w14:textFill>
            <w14:solidFill>
              <w14:schemeClr w14:val="tx1"/>
            </w14:solidFill>
          </w14:textFill>
        </w:rPr>
      </w:pPr>
      <w:r>
        <w:rPr>
          <w:rFonts w:hint="eastAsia" w:ascii="黑体" w:hAnsi="黑体" w:eastAsia="黑体" w:cs="微软雅黑"/>
          <w:color w:val="000000" w:themeColor="text1"/>
          <w:kern w:val="0"/>
          <w:sz w:val="32"/>
          <w:szCs w:val="32"/>
          <w:lang w:val="en-US" w:eastAsia="zh-CN" w:bidi="ar-SA"/>
          <w14:textFill>
            <w14:solidFill>
              <w14:schemeClr w14:val="tx1"/>
            </w14:solidFill>
          </w14:textFill>
        </w:rPr>
        <w:t>一、项目概况</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项目背景：</w:t>
      </w:r>
      <w:r>
        <w:rPr>
          <w:rFonts w:hint="eastAsia" w:ascii="仿宋_GB2312" w:hAnsi="仿宋_GB2312" w:eastAsia="仿宋_GB2312" w:cs="仿宋_GB2312"/>
          <w:color w:val="000000"/>
          <w:sz w:val="32"/>
          <w:szCs w:val="32"/>
        </w:rPr>
        <w:t>上海航食（浦东）厂区，绿地</w:t>
      </w:r>
      <w:r>
        <w:rPr>
          <w:rFonts w:hint="eastAsia" w:ascii="仿宋_GB2312" w:hAnsi="仿宋_GB2312" w:eastAsia="仿宋_GB2312" w:cs="仿宋_GB2312"/>
          <w:color w:val="000000"/>
          <w:sz w:val="32"/>
          <w:szCs w:val="32"/>
          <w:lang w:val="en-US" w:eastAsia="zh-CN"/>
        </w:rPr>
        <w:t>总</w:t>
      </w:r>
      <w:r>
        <w:rPr>
          <w:rFonts w:hint="eastAsia" w:ascii="仿宋_GB2312" w:hAnsi="仿宋_GB2312" w:eastAsia="仿宋_GB2312" w:cs="仿宋_GB2312"/>
          <w:color w:val="000000"/>
          <w:sz w:val="32"/>
          <w:szCs w:val="32"/>
        </w:rPr>
        <w:t>面积约</w:t>
      </w:r>
      <w:r>
        <w:rPr>
          <w:rFonts w:hint="eastAsia" w:ascii="仿宋_GB2312" w:hAnsi="仿宋_GB2312" w:eastAsia="仿宋_GB2312" w:cs="仿宋_GB2312"/>
          <w:color w:val="000000"/>
          <w:sz w:val="32"/>
          <w:szCs w:val="32"/>
          <w:lang w:val="en-US" w:eastAsia="zh-CN"/>
        </w:rPr>
        <w:t>19000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南院办公区绿地面积：7000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北院停车区绿地面积：12000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为加强对树木、草地等绿地管护及四季防虫害消杀工作，参照《园林绿化管养规范》（DB4403/T 87-2020）三级标准对公司绿化养护提出采购申请</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二</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项目名称：</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上海中航航空食品有限公司</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浦东</w:t>
      </w:r>
      <w:r>
        <w:rPr>
          <w:rFonts w:hint="eastAsia" w:ascii="仿宋_GB2312" w:hAnsi="微软雅黑" w:eastAsia="仿宋_GB2312" w:cs="微软雅黑"/>
          <w:color w:val="000000" w:themeColor="text1"/>
          <w:kern w:val="0"/>
          <w:sz w:val="32"/>
          <w:szCs w:val="32"/>
          <w14:textFill>
            <w14:solidFill>
              <w14:schemeClr w14:val="tx1"/>
            </w14:solidFill>
          </w14:textFill>
        </w:rPr>
        <w:t>厂区绿化养护服务项目</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三</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合同期限：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自合同签订之日起三年</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四</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及方式</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提供维保记录台账及养护现场操作图片</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五</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按次支付，提供服务验收合格后，供应商开具增值税专用发票并经我司确认后30个工作日内付款，具体付款方式为转账。</w:t>
      </w:r>
    </w:p>
    <w:p>
      <w:pPr>
        <w:keepNext w:val="0"/>
        <w:keepLines w:val="0"/>
        <w:pageBreakBefore w:val="0"/>
        <w:kinsoku/>
        <w:wordWrap/>
        <w:overflowPunct/>
        <w:topLinePunct w:val="0"/>
        <w:autoSpaceDE/>
        <w:autoSpaceDN/>
        <w:bidi w:val="0"/>
        <w:adjustRightInd/>
        <w:snapToGrid/>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六</w:t>
      </w:r>
      <w:bookmarkStart w:id="0" w:name="_GoBack"/>
      <w:bookmarkEnd w:id="0"/>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上海市浦东新区领航路100号</w:t>
      </w:r>
    </w:p>
    <w:p>
      <w:pPr>
        <w:pStyle w:val="5"/>
        <w:keepNext w:val="0"/>
        <w:keepLines w:val="0"/>
        <w:pageBreakBefore w:val="0"/>
        <w:numPr>
          <w:ilvl w:val="0"/>
          <w:numId w:val="0"/>
        </w:numPr>
        <w:kinsoku/>
        <w:wordWrap/>
        <w:overflowPunct/>
        <w:topLinePunct w:val="0"/>
        <w:autoSpaceDE/>
        <w:autoSpaceDN/>
        <w:bidi w:val="0"/>
        <w:adjustRightInd/>
        <w:snapToGrid/>
        <w:spacing w:line="336" w:lineRule="auto"/>
        <w:ind w:leftChars="0" w:firstLine="640" w:firstLineChars="200"/>
        <w:rPr>
          <w:rFonts w:hint="default" w:ascii="仿宋_GB2312" w:hAnsi="仿宋_GB2312" w:eastAsia="楷体_GB2312" w:cs="仿宋_GB2312"/>
          <w:color w:val="000000"/>
          <w:sz w:val="32"/>
          <w:szCs w:val="32"/>
          <w:lang w:val="en-US" w:eastAsia="zh-CN"/>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r>
        <w:rPr>
          <w:rFonts w:ascii="楷体_GB2312" w:hAnsi="微软雅黑" w:eastAsia="楷体_GB2312" w:cs="微软雅黑"/>
          <w:b/>
          <w:bCs/>
          <w:color w:val="000000" w:themeColor="text1"/>
          <w:kern w:val="0"/>
          <w:sz w:val="28"/>
          <w:szCs w:val="28"/>
          <w14:textFill>
            <w14:solidFill>
              <w14:schemeClr w14:val="tx1"/>
            </w14:solidFill>
          </w14:textFill>
        </w:rPr>
        <w:br w:type="textWrapping"/>
      </w:r>
      <w:r>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t xml:space="preserve">   本项目已批复。</w:t>
      </w:r>
    </w:p>
    <w:p>
      <w:pPr>
        <w:pStyle w:val="5"/>
        <w:keepNext w:val="0"/>
        <w:keepLines w:val="0"/>
        <w:pageBreakBefore w:val="0"/>
        <w:numPr>
          <w:ilvl w:val="0"/>
          <w:numId w:val="0"/>
        </w:numPr>
        <w:kinsoku/>
        <w:wordWrap/>
        <w:overflowPunct/>
        <w:topLinePunct w:val="0"/>
        <w:autoSpaceDE/>
        <w:autoSpaceDN/>
        <w:bidi w:val="0"/>
        <w:adjustRightInd/>
        <w:snapToGrid/>
        <w:spacing w:line="336" w:lineRule="auto"/>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w:t>
      </w:r>
      <w:r>
        <w:rPr>
          <w:rFonts w:hint="eastAsia" w:ascii="黑体" w:hAnsi="黑体" w:eastAsia="黑体" w:cs="微软雅黑"/>
          <w:color w:val="000000" w:themeColor="text1"/>
          <w:kern w:val="0"/>
          <w:sz w:val="32"/>
          <w:szCs w:val="32"/>
          <w14:textFill>
            <w14:solidFill>
              <w14:schemeClr w14:val="tx1"/>
            </w14:solidFill>
          </w14:textFill>
        </w:rPr>
        <w:t>采购需求</w:t>
      </w:r>
    </w:p>
    <w:p>
      <w:pPr>
        <w:keepNext w:val="0"/>
        <w:keepLines w:val="0"/>
        <w:pageBreakBefore w:val="0"/>
        <w:kinsoku/>
        <w:wordWrap/>
        <w:overflowPunct/>
        <w:topLinePunct w:val="0"/>
        <w:autoSpaceDE/>
        <w:autoSpaceDN/>
        <w:bidi w:val="0"/>
        <w:adjustRightInd/>
        <w:snapToGrid/>
        <w:spacing w:line="336" w:lineRule="auto"/>
        <w:ind w:firstLine="540"/>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（一）服务内容：</w:t>
      </w:r>
    </w:p>
    <w:p>
      <w:pPr>
        <w:keepNext w:val="0"/>
        <w:keepLines w:val="0"/>
        <w:pageBreakBefore w:val="0"/>
        <w:kinsoku/>
        <w:wordWrap/>
        <w:overflowPunct/>
        <w:topLinePunct w:val="0"/>
        <w:autoSpaceDE/>
        <w:autoSpaceDN/>
        <w:bidi w:val="0"/>
        <w:adjustRightInd/>
        <w:snapToGrid/>
        <w:spacing w:line="336" w:lineRule="auto"/>
        <w:ind w:firstLine="54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1.树木（乔木）、绿篱修剪：对树木、绿篱进行修剪，清理枯枝、下垂枝及妨碍架空电线、摄像设备的枝条。并对修剪下来的绿化垃圾进行清理。</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2.杂草修剪：修剪草坪，草坪高度不超过10厘米。清除过厚枯草层和楼顶夹缝中野草，防治火灾发生。并对修剪下来的绿化垃圾进行清理。</w:t>
      </w:r>
    </w:p>
    <w:p>
      <w:pPr>
        <w:keepNext w:val="0"/>
        <w:keepLines w:val="0"/>
        <w:pageBreakBefore w:val="0"/>
        <w:kinsoku/>
        <w:wordWrap/>
        <w:overflowPunct/>
        <w:topLinePunct w:val="0"/>
        <w:autoSpaceDE/>
        <w:autoSpaceDN/>
        <w:bidi w:val="0"/>
        <w:adjustRightInd/>
        <w:snapToGrid/>
        <w:spacing w:line="336" w:lineRule="auto"/>
        <w:ind w:firstLine="54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3.野生灌木清理，对北院空地上的野生灌木进行清除。并对修剪下来的绿化垃圾进行清理。</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4.防治病害虫：根据虫害发生的不同时期，对应喷洒药剂，早发现早防治。主要病虫害发生低于5％。</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5.免费提供会议室绿萝花，一年四次（16盆/次）。</w:t>
      </w:r>
    </w:p>
    <w:p>
      <w:pPr>
        <w:keepNext w:val="0"/>
        <w:keepLines w:val="0"/>
        <w:pageBreakBefore w:val="0"/>
        <w:kinsoku/>
        <w:wordWrap/>
        <w:overflowPunct/>
        <w:topLinePunct w:val="0"/>
        <w:autoSpaceDE/>
        <w:autoSpaceDN/>
        <w:bidi w:val="0"/>
        <w:adjustRightInd/>
        <w:snapToGrid/>
        <w:spacing w:line="336" w:lineRule="auto"/>
        <w:ind w:firstLine="540"/>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（二）服务要求：</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1.服务商可实际到场查看绿化养护场地，了解服务要求（附件一图纸）。</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2.服务商每次委派的养护作业人员需固定，方便我司对接联系，每次养护作业前，因关注汛期、暑期、台风天等恶劣天气，根据季节需求提早做好有效供水，排水、树木加固等。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3.一切与绿化相关的工具、药剂都要承接方自行配备。（药剂的使用因参照《上海市绿化和市容管理局关于加强本市绿化林业安全使用农药的通知》要求）</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4.养护频次：无固定养护频率，以采购方提前5日通知为准。一般不超过5次/年。</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5.养护作业人员要做好安全防护，如涉及登高作业，作业人员需具备登高作业操作证。</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highlight w:val="none"/>
          <w:lang w:val="en-US" w:eastAsia="zh-CN"/>
        </w:rPr>
        <w:t>6.服务期间，需接受采购方日常检查提出的工作要求及时整改落实。</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服务商</w:t>
      </w:r>
      <w:r>
        <w:rPr>
          <w:rFonts w:hint="eastAsia" w:ascii="仿宋_GB2312" w:hAnsi="仿宋_GB2312" w:eastAsia="仿宋_GB2312" w:cs="仿宋_GB2312"/>
          <w:sz w:val="32"/>
          <w:szCs w:val="32"/>
          <w:highlight w:val="none"/>
          <w:lang w:val="en-US" w:eastAsia="zh-CN"/>
        </w:rPr>
        <w:t>应积极配合采购方对绿化养护服务进行的考评工作（附件三）。</w:t>
      </w:r>
    </w:p>
    <w:p>
      <w:pPr>
        <w:keepNext w:val="0"/>
        <w:keepLines w:val="0"/>
        <w:pageBreakBefore w:val="0"/>
        <w:kinsoku/>
        <w:wordWrap/>
        <w:overflowPunct/>
        <w:topLinePunct w:val="0"/>
        <w:autoSpaceDE/>
        <w:autoSpaceDN/>
        <w:bidi w:val="0"/>
        <w:adjustRightInd/>
        <w:snapToGrid/>
        <w:spacing w:line="336" w:lineRule="auto"/>
        <w:ind w:firstLine="540"/>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（三）养护标准：</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1.树木生长较好，修剪基本合理，树形整齐美观，骨架比较均匀。 </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2.树穴、花池、绿带以及沿街绿地平面低于沿围平面距离5厘米左右，无较大杂草、无明显污物杂物，无积水。 </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3.行道树缺株在3%以下，基本无死树、枯枝。 </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4.树木无严重病虫危害症状，病虫危害率控制在15%以下，基本无药害。 </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5.无严重人为损害，无乱贴乱画，无以树当架晾晒衣物等现象。 </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6.新、补植行道树同原树种基本保持一致，有保护措施。 </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7.新、补植行道树成活率达90%以上，保存率达85%以上。 </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8.绿篱生长较好，修剪基本整齐，基本无死株，无严重断档，绿篱缺档不超过1米长。 </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9.草坪生长较好，基本平整，高度控制在10厘米左右，无大片杂草，无片状裸露地面，无较大成片枯黄。 </w:t>
      </w:r>
    </w:p>
    <w:p>
      <w:pPr>
        <w:keepNext w:val="0"/>
        <w:keepLines w:val="0"/>
        <w:pageBreakBefore w:val="0"/>
        <w:kinsoku/>
        <w:wordWrap/>
        <w:overflowPunct/>
        <w:topLinePunct w:val="0"/>
        <w:autoSpaceDE/>
        <w:autoSpaceDN/>
        <w:bidi w:val="0"/>
        <w:adjustRightInd/>
        <w:snapToGrid/>
        <w:spacing w:line="336" w:lineRule="auto"/>
        <w:ind w:firstLine="5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10.花坛（台）、花带内植物生长良好，定植花木能如期开花，较为整齐、换花花坛（台）及时换花，有一定的观赏效果。</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11.参照执行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《园林绿化管养规范》（DB4403/T 87-2020）三级标准</w:t>
      </w:r>
    </w:p>
    <w:p>
      <w:pPr>
        <w:keepNext w:val="0"/>
        <w:keepLines w:val="0"/>
        <w:pageBreakBefore w:val="0"/>
        <w:kinsoku/>
        <w:wordWrap/>
        <w:overflowPunct/>
        <w:topLinePunct w:val="0"/>
        <w:autoSpaceDE/>
        <w:autoSpaceDN/>
        <w:bidi w:val="0"/>
        <w:adjustRightInd/>
        <w:snapToGrid/>
        <w:spacing w:line="336" w:lineRule="auto"/>
        <w:ind w:firstLine="320" w:firstLineChars="100"/>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 xml:space="preserve"> （三）报价方式：</w:t>
      </w:r>
    </w:p>
    <w:p>
      <w:pPr>
        <w:keepNext w:val="0"/>
        <w:keepLines w:val="0"/>
        <w:pageBreakBefore w:val="0"/>
        <w:kinsoku/>
        <w:wordWrap/>
        <w:overflowPunct/>
        <w:topLinePunct w:val="0"/>
        <w:autoSpaceDE/>
        <w:autoSpaceDN/>
        <w:bidi w:val="0"/>
        <w:adjustRightInd/>
        <w:snapToGrid/>
        <w:spacing w:line="336" w:lineRule="auto"/>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绿化养护保养服务单次报价。（附件二报价单）</w:t>
      </w:r>
    </w:p>
    <w:p>
      <w:pPr>
        <w:keepNext w:val="0"/>
        <w:keepLines w:val="0"/>
        <w:pageBreakBefore w:val="0"/>
        <w:numPr>
          <w:ilvl w:val="0"/>
          <w:numId w:val="1"/>
        </w:numPr>
        <w:kinsoku/>
        <w:wordWrap/>
        <w:overflowPunct/>
        <w:topLinePunct w:val="0"/>
        <w:autoSpaceDE/>
        <w:autoSpaceDN/>
        <w:bidi w:val="0"/>
        <w:adjustRightInd/>
        <w:snapToGrid/>
        <w:spacing w:line="336" w:lineRule="auto"/>
        <w:ind w:firstLine="640"/>
        <w:rPr>
          <w:rFonts w:hint="eastAsia" w:ascii="黑体" w:hAnsi="黑体" w:eastAsia="黑体" w:cs="微软雅黑"/>
          <w:color w:val="000000" w:themeColor="text1"/>
          <w:kern w:val="0"/>
          <w:sz w:val="32"/>
          <w:szCs w:val="32"/>
          <w:lang w:val="en-US" w:eastAsia="zh-CN" w:bidi="ar-SA"/>
          <w14:textFill>
            <w14:solidFill>
              <w14:schemeClr w14:val="tx1"/>
            </w14:solidFill>
          </w14:textFill>
        </w:rPr>
      </w:pPr>
      <w:r>
        <w:rPr>
          <w:rFonts w:hint="eastAsia" w:ascii="黑体" w:hAnsi="黑体" w:eastAsia="黑体" w:cs="微软雅黑"/>
          <w:color w:val="000000" w:themeColor="text1"/>
          <w:kern w:val="0"/>
          <w:sz w:val="32"/>
          <w:szCs w:val="32"/>
          <w:lang w:val="en-US" w:eastAsia="zh-CN" w:bidi="ar-SA"/>
          <w14:textFill>
            <w14:solidFill>
              <w14:schemeClr w14:val="tx1"/>
            </w14:solidFill>
          </w14:textFill>
        </w:rPr>
        <w:t>双方权利和义务</w:t>
      </w:r>
    </w:p>
    <w:p>
      <w:pPr>
        <w:keepNext w:val="0"/>
        <w:keepLines w:val="0"/>
        <w:pageBreakBefore w:val="0"/>
        <w:kinsoku/>
        <w:wordWrap/>
        <w:overflowPunct/>
        <w:topLinePunct w:val="0"/>
        <w:autoSpaceDE/>
        <w:autoSpaceDN/>
        <w:bidi w:val="0"/>
        <w:adjustRightInd/>
        <w:snapToGrid/>
        <w:spacing w:line="336" w:lineRule="auto"/>
        <w:ind w:firstLine="320" w:firstLineChars="100"/>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（一）我司的权利和义务</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指派专人监督、检查、联系和协调</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的维护保养工作，并根据</w:t>
      </w:r>
      <w:r>
        <w:rPr>
          <w:rFonts w:hint="eastAsia" w:ascii="仿宋_GB2312" w:hAnsi="仿宋_GB2312" w:eastAsia="仿宋_GB2312" w:cs="仿宋_GB2312"/>
          <w:sz w:val="32"/>
          <w:szCs w:val="32"/>
          <w:lang w:val="en-US" w:eastAsia="zh-CN"/>
        </w:rPr>
        <w:t>附件三</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rPr>
        <w:t>单次绿化养护服务情况考评表</w:t>
      </w:r>
      <w:r>
        <w:rPr>
          <w:rFonts w:hint="eastAsia" w:ascii="仿宋_GB2312" w:hAnsi="仿宋_GB2312" w:eastAsia="仿宋_GB2312" w:cs="仿宋_GB2312"/>
          <w:sz w:val="32"/>
          <w:szCs w:val="32"/>
        </w:rPr>
        <w:t>》评定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的工作质量。</w:t>
      </w:r>
    </w:p>
    <w:p>
      <w:pPr>
        <w:keepNext w:val="0"/>
        <w:keepLines w:val="0"/>
        <w:pageBreakBefore w:val="0"/>
        <w:kinsoku/>
        <w:wordWrap/>
        <w:overflowPunct/>
        <w:topLinePunct w:val="0"/>
        <w:autoSpaceDE/>
        <w:autoSpaceDN/>
        <w:bidi w:val="0"/>
        <w:adjustRightInd/>
        <w:snapToGrid/>
        <w:spacing w:line="336" w:lineRule="auto"/>
        <w:ind w:left="1"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有权随时检查</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维护保养人员的个人卫生、仪容仪表、服务工作和遵章守纪等情况，并提出处理和改进意见。</w:t>
      </w:r>
    </w:p>
    <w:p>
      <w:pPr>
        <w:keepNext w:val="0"/>
        <w:keepLines w:val="0"/>
        <w:pageBreakBefore w:val="0"/>
        <w:kinsoku/>
        <w:wordWrap/>
        <w:overflowPunct/>
        <w:topLinePunct w:val="0"/>
        <w:autoSpaceDE/>
        <w:autoSpaceDN/>
        <w:bidi w:val="0"/>
        <w:adjustRightInd/>
        <w:snapToGrid/>
        <w:spacing w:line="336" w:lineRule="auto"/>
        <w:ind w:left="1"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有权要求</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撤换不称职的维护保养人员。</w:t>
      </w:r>
    </w:p>
    <w:p>
      <w:pPr>
        <w:keepNext w:val="0"/>
        <w:keepLines w:val="0"/>
        <w:pageBreakBefore w:val="0"/>
        <w:kinsoku/>
        <w:wordWrap/>
        <w:overflowPunct/>
        <w:topLinePunct w:val="0"/>
        <w:autoSpaceDE/>
        <w:autoSpaceDN/>
        <w:bidi w:val="0"/>
        <w:adjustRightInd/>
        <w:snapToGrid/>
        <w:spacing w:line="336" w:lineRule="auto"/>
        <w:ind w:left="1"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有权与</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协商对维护保养人员进行临时性工作安排和调整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负责人联系，解决需纠正的问题。</w:t>
      </w:r>
    </w:p>
    <w:p>
      <w:pPr>
        <w:keepNext w:val="0"/>
        <w:keepLines w:val="0"/>
        <w:pageBreakBefore w:val="0"/>
        <w:kinsoku/>
        <w:wordWrap/>
        <w:overflowPunct/>
        <w:topLinePunct w:val="0"/>
        <w:autoSpaceDE/>
        <w:autoSpaceDN/>
        <w:bidi w:val="0"/>
        <w:adjustRightInd/>
        <w:snapToGrid/>
        <w:spacing w:line="336" w:lineRule="auto"/>
        <w:ind w:left="1"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负责每</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rPr>
        <w:t>按时支付</w:t>
      </w:r>
      <w:r>
        <w:rPr>
          <w:rFonts w:hint="eastAsia" w:ascii="仿宋_GB2312" w:hAnsi="仿宋_GB2312" w:eastAsia="仿宋_GB2312" w:cs="仿宋_GB2312"/>
          <w:sz w:val="32"/>
          <w:szCs w:val="32"/>
          <w:lang w:val="en-US" w:eastAsia="zh-CN"/>
        </w:rPr>
        <w:t>绿化养护</w:t>
      </w:r>
      <w:r>
        <w:rPr>
          <w:rFonts w:hint="eastAsia" w:ascii="仿宋_GB2312" w:hAnsi="仿宋_GB2312" w:eastAsia="仿宋_GB2312" w:cs="仿宋_GB2312"/>
          <w:sz w:val="32"/>
          <w:szCs w:val="32"/>
        </w:rPr>
        <w:t>费。</w:t>
      </w:r>
    </w:p>
    <w:p>
      <w:pPr>
        <w:keepNext w:val="0"/>
        <w:keepLines w:val="0"/>
        <w:pageBreakBefore w:val="0"/>
        <w:kinsoku/>
        <w:wordWrap/>
        <w:overflowPunct/>
        <w:topLinePunct w:val="0"/>
        <w:autoSpaceDE/>
        <w:autoSpaceDN/>
        <w:bidi w:val="0"/>
        <w:adjustRightInd/>
        <w:snapToGrid/>
        <w:spacing w:line="336" w:lineRule="auto"/>
        <w:ind w:left="1"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负责为维护管理工作提供必要的水、电、场地等条件。</w:t>
      </w:r>
    </w:p>
    <w:p>
      <w:pPr>
        <w:keepNext w:val="0"/>
        <w:keepLines w:val="0"/>
        <w:pageBreakBefore w:val="0"/>
        <w:kinsoku/>
        <w:wordWrap/>
        <w:overflowPunct/>
        <w:topLinePunct w:val="0"/>
        <w:autoSpaceDE/>
        <w:autoSpaceDN/>
        <w:bidi w:val="0"/>
        <w:adjustRightInd/>
        <w:snapToGrid/>
        <w:spacing w:line="336" w:lineRule="auto"/>
        <w:ind w:firstLine="320" w:firstLineChars="100"/>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（二）服务商的权利和义务</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1.服务商有权对工作区域内发现的安全隐患提出意见和建议，我司应认真研究并积极采取相应的措施。</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2.服务商保证其维护保养人员达到维护保养工作的健康状态，若其维护保养人员患有传染性疾病的，应及时向我司报告并做好隔离治疗工作。</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3.服务商维护保养人员严格遵守我司各项规定。</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4.服务商保证其维护保养人员着装整洁，按规定佩戴胸卡。 </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5.服务商确保其维护保养人员具备相应的绿植养护、虫害控制专业知识和一定的实际工作经验，以满足要求。</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6.服务商负责绿地的清洁卫生，做到绿地无杂草。</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7.服务商对苗木随时防治病虫害，及时喷药。</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8.服务商负责绿地、苗木的养护管理，做到适时浇水，随时维护，保证绿地、苗木整洁美观，生长正常，成活率达到95％以上。</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9.服务商负责提供维护保养所需的工具、机械、运输、农药和肥料等。</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服务商承担维护管理期内绿地、苗木、租摆绿植等的日常维护保养管理工作，确保所有绿植具有较高的观赏水平。如绿植出现倾覆、枯萎或死亡的，服务商应先期及时扶正、移除、补种或更换，所涉费用按照如下方式确认：如系我司责任，服务商出具相应费用明细后，我司支付。如系第三方责任，我司协助服务商向第三方索赔。如系服务商原因，服务商承担相应费用和违约金。如系不可抗力的，双方协商费用承担比例。</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11.服务商维护保养人员如发现跑水、火警等紧急事件的，需及时通知我司，并协助我司做好处理工作。</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服务商应为其工作人员购买工伤或人身伤害意外保险，对其员工在服务过程中发生的任何意外及伤亡承担责任，负责有关诉讼及赔偿等费用；服务过程中造成的直接和间接的任何第三人的一切安全事故和人身损害、财产损失由服务商自行负责，我司不负任何赔偿责任。</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13.服务商应承担其维护保养人员在工作中给我司及其人员造成损失的责任。</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14.服务商不得将项目转包、分包给其他公司或个人。</w:t>
      </w:r>
    </w:p>
    <w:p>
      <w:pPr>
        <w:pStyle w:val="2"/>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黑体" w:hAnsi="黑体" w:eastAsia="黑体" w:cs="微软雅黑"/>
          <w:color w:val="000000" w:themeColor="text1"/>
          <w:kern w:val="0"/>
          <w:sz w:val="32"/>
          <w:szCs w:val="32"/>
          <w:lang w:val="en-US" w:eastAsia="zh-CN" w:bidi="ar-SA"/>
          <w14:textFill>
            <w14:solidFill>
              <w14:schemeClr w14:val="tx1"/>
            </w14:solidFill>
          </w14:textFill>
        </w:rPr>
      </w:pPr>
      <w:r>
        <w:rPr>
          <w:rFonts w:hint="eastAsia" w:ascii="黑体" w:hAnsi="黑体" w:eastAsia="黑体" w:cs="微软雅黑"/>
          <w:color w:val="000000" w:themeColor="text1"/>
          <w:kern w:val="0"/>
          <w:sz w:val="32"/>
          <w:szCs w:val="32"/>
          <w:lang w:val="en-US" w:eastAsia="zh-CN" w:bidi="ar-SA"/>
          <w14:textFill>
            <w14:solidFill>
              <w14:schemeClr w14:val="tx1"/>
            </w14:solidFill>
          </w14:textFill>
        </w:rPr>
        <w:t>五、供应商资质</w:t>
      </w:r>
    </w:p>
    <w:p>
      <w:pPr>
        <w:pStyle w:val="2"/>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经营范围：园林绿化工程施工、绿化管理、绿化养护、花卉栽植、销售等经营范围。</w:t>
      </w:r>
    </w:p>
    <w:p>
      <w:pPr>
        <w:keepNext w:val="0"/>
        <w:keepLines w:val="0"/>
        <w:pageBreakBefore w:val="0"/>
        <w:kinsoku/>
        <w:wordWrap/>
        <w:overflowPunct/>
        <w:topLinePunct w:val="0"/>
        <w:autoSpaceDE/>
        <w:autoSpaceDN/>
        <w:bidi w:val="0"/>
        <w:adjustRightInd/>
        <w:snapToGrid/>
        <w:spacing w:line="336" w:lineRule="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附件一：图纸</w:t>
      </w:r>
    </w:p>
    <w:p>
      <w:pPr>
        <w:keepNext w:val="0"/>
        <w:keepLines w:val="0"/>
        <w:pageBreakBefore w:val="0"/>
        <w:kinsoku/>
        <w:wordWrap/>
        <w:overflowPunct/>
        <w:topLinePunct w:val="0"/>
        <w:autoSpaceDE/>
        <w:autoSpaceDN/>
        <w:bidi w:val="0"/>
        <w:adjustRightInd/>
        <w:snapToGrid/>
        <w:spacing w:line="336" w:lineRule="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drawing>
          <wp:inline distT="0" distB="0" distL="114300" distR="114300">
            <wp:extent cx="4708525" cy="6960870"/>
            <wp:effectExtent l="0" t="0" r="15875" b="11430"/>
            <wp:docPr id="1" name="图片 1" descr="abbb26ef9020d160a9f0cccfda3b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bb26ef9020d160a9f0cccfda3b607"/>
                    <pic:cNvPicPr>
                      <a:picLocks noChangeAspect="1"/>
                    </pic:cNvPicPr>
                  </pic:nvPicPr>
                  <pic:blipFill>
                    <a:blip r:embed="rId4"/>
                    <a:stretch>
                      <a:fillRect/>
                    </a:stretch>
                  </pic:blipFill>
                  <pic:spPr>
                    <a:xfrm>
                      <a:off x="0" y="0"/>
                      <a:ext cx="4708525" cy="696087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36" w:lineRule="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336" w:lineRule="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336" w:lineRule="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336"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附件二：报价单</w:t>
      </w:r>
    </w:p>
    <w:tbl>
      <w:tblPr>
        <w:tblStyle w:val="3"/>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008"/>
        <w:gridCol w:w="2774"/>
        <w:gridCol w:w="782"/>
        <w:gridCol w:w="718"/>
        <w:gridCol w:w="719"/>
        <w:gridCol w:w="847"/>
        <w:gridCol w:w="1076"/>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330"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绿化服务报价单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绿化面积</w:t>
            </w:r>
          </w:p>
        </w:tc>
        <w:tc>
          <w:tcPr>
            <w:tcW w:w="2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top"/>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服务内容</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频次</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含税单价</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27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宋体" w:eastAsia="仿宋_GB2312" w:cs="仿宋_GB2312"/>
                <w:i w:val="0"/>
                <w:iCs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宋体" w:eastAsia="仿宋_GB2312" w:cs="仿宋_GB2312"/>
                <w:i w:val="0"/>
                <w:iCs w:val="0"/>
                <w:color w:val="000000"/>
                <w:sz w:val="24"/>
                <w:szCs w:val="24"/>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宋体" w:eastAsia="仿宋_GB2312" w:cs="仿宋_GB2312"/>
                <w:i w:val="0"/>
                <w:iCs w:val="0"/>
                <w:color w:val="000000"/>
                <w:sz w:val="24"/>
                <w:szCs w:val="24"/>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宋体" w:eastAsia="仿宋_GB2312" w:cs="仿宋_GB2312"/>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宋体" w:eastAsia="仿宋_GB2312" w:cs="仿宋_GB2312"/>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税</w:t>
            </w:r>
            <w:r>
              <w:rPr>
                <w:rFonts w:hint="eastAsia" w:ascii="仿宋_GB2312" w:hAnsi="宋体" w:eastAsia="仿宋_GB2312" w:cs="仿宋_GB2312"/>
                <w:i w:val="0"/>
                <w:iCs w:val="0"/>
                <w:color w:val="000000"/>
                <w:kern w:val="0"/>
                <w:sz w:val="24"/>
                <w:szCs w:val="24"/>
                <w:u w:val="none"/>
                <w:lang w:val="en-US" w:eastAsia="zh-CN" w:bidi="ar"/>
              </w:rPr>
              <w:t>率</w:t>
            </w:r>
            <w:r>
              <w:rPr>
                <w:rFonts w:hint="default" w:ascii="仿宋_GB2312" w:hAnsi="宋体" w:eastAsia="仿宋_GB2312" w:cs="仿宋_GB2312"/>
                <w:i w:val="0"/>
                <w:iCs w:val="0"/>
                <w:color w:val="000000"/>
                <w:kern w:val="0"/>
                <w:sz w:val="24"/>
                <w:szCs w:val="24"/>
                <w:u w:val="none"/>
                <w:lang w:val="en-US" w:eastAsia="zh-CN" w:bidi="ar"/>
              </w:rPr>
              <w:t xml:space="preserve"> %</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南院</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7000</w:t>
            </w:r>
            <w:r>
              <w:rPr>
                <w:rFonts w:hint="eastAsia" w:ascii="宋体" w:hAnsi="宋体" w:eastAsia="宋体" w:cs="宋体"/>
                <w:i w:val="0"/>
                <w:iCs w:val="0"/>
                <w:color w:val="000000"/>
                <w:kern w:val="0"/>
                <w:sz w:val="22"/>
                <w:szCs w:val="22"/>
                <w:u w:val="none"/>
                <w:lang w:val="en-US" w:eastAsia="zh-CN" w:bidi="ar"/>
              </w:rPr>
              <w:t>㎡</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树木、</w:t>
            </w:r>
            <w:r>
              <w:rPr>
                <w:rFonts w:hint="default" w:ascii="仿宋_GB2312" w:hAnsi="宋体" w:eastAsia="仿宋_GB2312" w:cs="仿宋_GB2312"/>
                <w:i w:val="0"/>
                <w:iCs w:val="0"/>
                <w:color w:val="000000"/>
                <w:kern w:val="0"/>
                <w:sz w:val="24"/>
                <w:szCs w:val="24"/>
                <w:u w:val="none"/>
                <w:lang w:val="en-US" w:eastAsia="zh-CN" w:bidi="ar"/>
              </w:rPr>
              <w:t>绿篱修剪</w:t>
            </w:r>
            <w:r>
              <w:rPr>
                <w:rFonts w:hint="eastAsia" w:ascii="仿宋_GB2312" w:hAnsi="宋体" w:eastAsia="仿宋_GB2312" w:cs="仿宋_GB2312"/>
                <w:i w:val="0"/>
                <w:iCs w:val="0"/>
                <w:color w:val="000000"/>
                <w:kern w:val="0"/>
                <w:sz w:val="24"/>
                <w:szCs w:val="24"/>
                <w:u w:val="none"/>
                <w:lang w:val="en-US" w:eastAsia="zh-CN" w:bidi="ar"/>
              </w:rPr>
              <w:t>清理（含人工）</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草坪</w:t>
            </w:r>
            <w:r>
              <w:rPr>
                <w:rFonts w:hint="eastAsia" w:ascii="仿宋_GB2312" w:hAnsi="宋体" w:eastAsia="仿宋_GB2312" w:cs="仿宋_GB2312"/>
                <w:i w:val="0"/>
                <w:iCs w:val="0"/>
                <w:color w:val="000000"/>
                <w:kern w:val="0"/>
                <w:sz w:val="24"/>
                <w:szCs w:val="24"/>
                <w:u w:val="none"/>
                <w:lang w:val="en-US" w:eastAsia="zh-CN" w:bidi="ar"/>
              </w:rPr>
              <w:t>、野生灌木和楼顶杂草修剪清理（含人工）</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lang w:val="en-US"/>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lang w:val="en-US"/>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防虫害消杀服务（含人工）</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lang w:val="en-US"/>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lang w:val="en-US"/>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南院区域季节性落叶清理（含人工）</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北院</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12000</w:t>
            </w:r>
            <w:r>
              <w:rPr>
                <w:rFonts w:hint="eastAsia" w:ascii="宋体" w:hAnsi="宋体" w:eastAsia="宋体" w:cs="宋体"/>
                <w:i w:val="0"/>
                <w:iCs w:val="0"/>
                <w:color w:val="000000"/>
                <w:kern w:val="0"/>
                <w:sz w:val="22"/>
                <w:szCs w:val="22"/>
                <w:u w:val="none"/>
                <w:lang w:val="en-US" w:eastAsia="zh-CN" w:bidi="ar"/>
              </w:rPr>
              <w:t>㎡</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树木、</w:t>
            </w:r>
            <w:r>
              <w:rPr>
                <w:rFonts w:hint="default" w:ascii="仿宋_GB2312" w:hAnsi="宋体" w:eastAsia="仿宋_GB2312" w:cs="仿宋_GB2312"/>
                <w:i w:val="0"/>
                <w:iCs w:val="0"/>
                <w:color w:val="000000"/>
                <w:kern w:val="0"/>
                <w:sz w:val="24"/>
                <w:szCs w:val="24"/>
                <w:u w:val="none"/>
                <w:lang w:val="en-US" w:eastAsia="zh-CN" w:bidi="ar"/>
              </w:rPr>
              <w:t>绿篱修剪</w:t>
            </w:r>
            <w:r>
              <w:rPr>
                <w:rFonts w:hint="eastAsia" w:ascii="仿宋_GB2312" w:hAnsi="宋体" w:eastAsia="仿宋_GB2312" w:cs="仿宋_GB2312"/>
                <w:i w:val="0"/>
                <w:iCs w:val="0"/>
                <w:color w:val="000000"/>
                <w:kern w:val="0"/>
                <w:sz w:val="24"/>
                <w:szCs w:val="24"/>
                <w:u w:val="none"/>
                <w:lang w:val="en-US" w:eastAsia="zh-CN" w:bidi="ar"/>
              </w:rPr>
              <w:t>清理（含人工）</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草坪</w:t>
            </w:r>
            <w:r>
              <w:rPr>
                <w:rFonts w:hint="eastAsia" w:ascii="仿宋_GB2312" w:hAnsi="宋体" w:eastAsia="仿宋_GB2312" w:cs="仿宋_GB2312"/>
                <w:i w:val="0"/>
                <w:iCs w:val="0"/>
                <w:color w:val="000000"/>
                <w:kern w:val="0"/>
                <w:sz w:val="24"/>
                <w:szCs w:val="24"/>
                <w:u w:val="none"/>
                <w:lang w:val="en-US" w:eastAsia="zh-CN" w:bidi="ar"/>
              </w:rPr>
              <w:t>、野生灌木修剪清理（含人工）</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防虫害消杀服务（含人工）</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z w:val="22"/>
                <w:szCs w:val="22"/>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北院区域季节性落叶清理（含人工）</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top"/>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top"/>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5"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z w:val="22"/>
                <w:szCs w:val="22"/>
                <w:u w:val="none"/>
              </w:rPr>
            </w:pPr>
          </w:p>
        </w:tc>
        <w:tc>
          <w:tcPr>
            <w:tcW w:w="1008"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z w:val="22"/>
                <w:szCs w:val="22"/>
                <w:u w:val="none"/>
              </w:rPr>
            </w:pPr>
          </w:p>
        </w:tc>
        <w:tc>
          <w:tcPr>
            <w:tcW w:w="2774"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z w:val="22"/>
                <w:szCs w:val="22"/>
                <w:u w:val="none"/>
              </w:rPr>
            </w:pPr>
          </w:p>
        </w:tc>
        <w:tc>
          <w:tcPr>
            <w:tcW w:w="782"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z w:val="22"/>
                <w:szCs w:val="22"/>
                <w:u w:val="none"/>
              </w:rPr>
            </w:pPr>
          </w:p>
        </w:tc>
        <w:tc>
          <w:tcPr>
            <w:tcW w:w="718"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z w:val="22"/>
                <w:szCs w:val="22"/>
                <w:u w:val="none"/>
              </w:rPr>
            </w:pPr>
          </w:p>
        </w:tc>
        <w:tc>
          <w:tcPr>
            <w:tcW w:w="719"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z w:val="22"/>
                <w:szCs w:val="22"/>
                <w:u w:val="none"/>
              </w:rPr>
            </w:pPr>
          </w:p>
        </w:tc>
        <w:tc>
          <w:tcPr>
            <w:tcW w:w="847"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z w:val="22"/>
                <w:szCs w:val="22"/>
                <w:u w:val="none"/>
              </w:rPr>
            </w:pPr>
          </w:p>
        </w:tc>
        <w:tc>
          <w:tcPr>
            <w:tcW w:w="1076"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z w:val="22"/>
                <w:szCs w:val="22"/>
                <w:u w:val="none"/>
              </w:rPr>
            </w:pPr>
          </w:p>
        </w:tc>
        <w:tc>
          <w:tcPr>
            <w:tcW w:w="771"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30" w:type="dxa"/>
            <w:gridSpan w:val="9"/>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6"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注：1.付款方式：服务频次和绿化服务区域以实际发生为准，按次支付，提供服务验收合格后，供应商开具增值税专用发票并经我司确认后30个工作日内付款，具体付款方式为转账。</w:t>
            </w:r>
          </w:p>
          <w:p>
            <w:pPr>
              <w:keepNext w:val="0"/>
              <w:keepLines w:val="0"/>
              <w:pageBreakBefore w:val="0"/>
              <w:kinsoku/>
              <w:wordWrap/>
              <w:overflowPunct/>
              <w:topLinePunct w:val="0"/>
              <w:autoSpaceDE/>
              <w:autoSpaceDN/>
              <w:bidi w:val="0"/>
              <w:adjustRightInd/>
              <w:snapToGrid/>
              <w:spacing w:line="336"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2.报价已包含汛期、暑期、台风天等恶劣天气的供水，排水、树木加固等服务费用，不另外报价。</w:t>
            </w:r>
          </w:p>
          <w:p>
            <w:pPr>
              <w:keepNext w:val="0"/>
              <w:keepLines w:val="0"/>
              <w:pageBreakBefore w:val="0"/>
              <w:kinsoku/>
              <w:wordWrap/>
              <w:overflowPunct/>
              <w:topLinePunct w:val="0"/>
              <w:autoSpaceDE/>
              <w:autoSpaceDN/>
              <w:bidi w:val="0"/>
              <w:adjustRightInd/>
              <w:snapToGrid/>
              <w:spacing w:line="336"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3.免费提供会议室绿萝花，一年四次（16盆/次）</w:t>
            </w:r>
          </w:p>
          <w:p>
            <w:pPr>
              <w:pStyle w:val="2"/>
              <w:keepNext w:val="0"/>
              <w:keepLines w:val="0"/>
              <w:pageBreakBefore w:val="0"/>
              <w:kinsoku/>
              <w:wordWrap/>
              <w:overflowPunct/>
              <w:topLinePunct w:val="0"/>
              <w:autoSpaceDE/>
              <w:autoSpaceDN/>
              <w:bidi w:val="0"/>
              <w:adjustRightInd/>
              <w:snapToGrid/>
              <w:spacing w:line="336" w:lineRule="auto"/>
              <w:rPr>
                <w:rFonts w:hint="default"/>
                <w:lang w:val="en-US"/>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Times New Roman" w:eastAsia="仿宋_GB2312" w:cs="Times New Roman"/>
          <w:b w:val="0"/>
          <w:bCs/>
          <w:sz w:val="32"/>
          <w:lang w:val="en-US" w:eastAsia="zh-CN"/>
        </w:rPr>
      </w:pPr>
      <w:r>
        <w:rPr>
          <w:rFonts w:hint="eastAsia" w:ascii="仿宋_GB2312" w:eastAsia="仿宋_GB2312" w:cs="Times New Roman"/>
          <w:b w:val="0"/>
          <w:bCs/>
          <w:sz w:val="32"/>
          <w:lang w:val="en-US" w:eastAsia="zh-CN"/>
        </w:rPr>
        <w:t>附件三</w:t>
      </w:r>
    </w:p>
    <w:p>
      <w:pPr>
        <w:keepNext w:val="0"/>
        <w:keepLines w:val="0"/>
        <w:pageBreakBefore w:val="0"/>
        <w:kinsoku/>
        <w:wordWrap/>
        <w:overflowPunct/>
        <w:topLinePunct w:val="0"/>
        <w:autoSpaceDE/>
        <w:autoSpaceDN/>
        <w:bidi w:val="0"/>
        <w:adjustRightInd/>
        <w:snapToGrid/>
        <w:spacing w:line="336" w:lineRule="auto"/>
        <w:ind w:firstLine="1285" w:firstLineChars="400"/>
        <w:jc w:val="both"/>
        <w:rPr>
          <w:rFonts w:hint="eastAsia" w:ascii="仿宋_GB2312" w:eastAsia="仿宋_GB2312"/>
          <w:b/>
          <w:sz w:val="32"/>
        </w:rPr>
      </w:pPr>
      <w:r>
        <w:rPr>
          <w:rFonts w:hint="eastAsia" w:ascii="仿宋_GB2312" w:hAnsi="Times New Roman" w:eastAsia="仿宋_GB2312" w:cs="Times New Roman"/>
          <w:b/>
          <w:sz w:val="32"/>
          <w:lang w:val="en-US" w:eastAsia="zh-CN"/>
        </w:rPr>
        <w:t xml:space="preserve">单 次 绿 化 养 护 服 务 </w:t>
      </w:r>
      <w:r>
        <w:rPr>
          <w:rFonts w:hint="eastAsia" w:ascii="仿宋_GB2312" w:eastAsia="仿宋_GB2312"/>
          <w:b/>
          <w:sz w:val="32"/>
        </w:rPr>
        <w:t>情 况</w:t>
      </w:r>
      <w:r>
        <w:rPr>
          <w:rFonts w:hint="eastAsia" w:ascii="仿宋_GB2312" w:eastAsia="仿宋_GB2312"/>
          <w:b/>
          <w:sz w:val="32"/>
          <w:lang w:val="en-US" w:eastAsia="zh-CN"/>
        </w:rPr>
        <w:t xml:space="preserve"> 考 评 </w:t>
      </w:r>
      <w:r>
        <w:rPr>
          <w:rFonts w:hint="eastAsia" w:ascii="仿宋_GB2312" w:eastAsia="仿宋_GB2312"/>
          <w:b/>
          <w:sz w:val="32"/>
        </w:rPr>
        <w:t>表</w:t>
      </w:r>
    </w:p>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u w:val="single"/>
        </w:rPr>
      </w:pPr>
      <w:r>
        <w:rPr>
          <w:rFonts w:hint="eastAsia" w:ascii="仿宋_GB2312" w:eastAsia="仿宋_GB2312"/>
          <w:sz w:val="24"/>
          <w:lang w:val="en-US" w:eastAsia="zh-CN"/>
        </w:rPr>
        <w:t>考核</w:t>
      </w:r>
      <w:r>
        <w:rPr>
          <w:rFonts w:hint="eastAsia" w:ascii="仿宋_GB2312" w:eastAsia="仿宋_GB2312"/>
          <w:sz w:val="24"/>
        </w:rPr>
        <w:t>人</w:t>
      </w:r>
      <w:r>
        <w:rPr>
          <w:rFonts w:hint="eastAsia" w:ascii="仿宋_GB2312" w:eastAsia="仿宋_GB2312"/>
          <w:sz w:val="24"/>
          <w:u w:val="single"/>
        </w:rPr>
        <w:t xml:space="preserve">:           </w:t>
      </w:r>
      <w:r>
        <w:rPr>
          <w:rFonts w:hint="eastAsia" w:ascii="仿宋_GB2312" w:eastAsia="仿宋_GB2312"/>
          <w:sz w:val="24"/>
          <w:u w:val="none"/>
        </w:rPr>
        <w:t xml:space="preserve"> </w:t>
      </w:r>
      <w:r>
        <w:rPr>
          <w:rFonts w:hint="eastAsia" w:ascii="仿宋_GB2312" w:eastAsia="仿宋_GB2312"/>
          <w:sz w:val="24"/>
          <w:u w:val="none"/>
          <w:lang w:val="en-US" w:eastAsia="zh-CN"/>
        </w:rPr>
        <w:t xml:space="preserve">                                       日期：</w:t>
      </w:r>
      <w:r>
        <w:rPr>
          <w:rFonts w:hint="eastAsia" w:ascii="仿宋_GB2312" w:eastAsia="仿宋_GB2312"/>
          <w:sz w:val="24"/>
          <w:u w:val="single"/>
          <w:lang w:val="en-US" w:eastAsia="zh-CN"/>
        </w:rPr>
        <w:t xml:space="preserve">                 </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759"/>
        <w:gridCol w:w="691"/>
        <w:gridCol w:w="1016"/>
        <w:gridCol w:w="93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7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b/>
                <w:sz w:val="24"/>
              </w:rPr>
            </w:pPr>
          </w:p>
        </w:tc>
        <w:tc>
          <w:tcPr>
            <w:tcW w:w="161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b/>
                <w:sz w:val="24"/>
              </w:rPr>
            </w:pPr>
            <w:r>
              <w:rPr>
                <w:rFonts w:hint="eastAsia" w:ascii="仿宋_GB2312" w:eastAsia="仿宋_GB2312"/>
                <w:b/>
                <w:sz w:val="24"/>
                <w:lang w:val="en-US" w:eastAsia="zh-CN"/>
              </w:rPr>
              <w:t>考核</w:t>
            </w:r>
            <w:r>
              <w:rPr>
                <w:rFonts w:hint="eastAsia" w:ascii="仿宋_GB2312" w:eastAsia="仿宋_GB2312"/>
                <w:b/>
                <w:sz w:val="24"/>
              </w:rPr>
              <w:t>项目</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b/>
                <w:sz w:val="24"/>
              </w:rPr>
            </w:pPr>
            <w:r>
              <w:rPr>
                <w:rFonts w:hint="eastAsia" w:ascii="仿宋_GB2312" w:eastAsia="仿宋_GB2312"/>
                <w:b/>
                <w:sz w:val="24"/>
              </w:rPr>
              <w:t>分值</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b/>
                <w:sz w:val="24"/>
              </w:rPr>
            </w:pPr>
            <w:r>
              <w:rPr>
                <w:rFonts w:hint="eastAsia" w:ascii="仿宋_GB2312" w:eastAsia="仿宋_GB2312"/>
                <w:b/>
                <w:sz w:val="24"/>
              </w:rPr>
              <w:t>被扣分</w:t>
            </w: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b/>
                <w:sz w:val="24"/>
              </w:rPr>
            </w:pPr>
            <w:r>
              <w:rPr>
                <w:rFonts w:hint="eastAsia" w:ascii="仿宋_GB2312" w:eastAsia="仿宋_GB2312"/>
                <w:b/>
                <w:sz w:val="24"/>
              </w:rPr>
              <w:t>实得分</w:t>
            </w:r>
          </w:p>
        </w:tc>
        <w:tc>
          <w:tcPr>
            <w:tcW w:w="952"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b/>
                <w:sz w:val="24"/>
              </w:rPr>
            </w:pPr>
            <w:r>
              <w:rPr>
                <w:rFonts w:hint="eastAsia" w:ascii="仿宋_GB2312" w:eastAsia="仿宋_GB2312"/>
                <w:b/>
                <w:sz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6" w:type="pct"/>
            <w:vMerge w:val="restar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sz w:val="24"/>
                <w:lang w:val="en-US" w:eastAsia="zh-CN"/>
              </w:rPr>
            </w:pPr>
            <w:r>
              <w:rPr>
                <w:rFonts w:hint="eastAsia" w:ascii="仿宋_GB2312" w:eastAsia="仿宋_GB2312"/>
                <w:sz w:val="24"/>
                <w:lang w:val="en-US" w:eastAsia="zh-CN"/>
              </w:rPr>
              <w:t>出勤和仪表情况</w:t>
            </w:r>
            <w:r>
              <w:rPr>
                <w:rFonts w:hint="eastAsia" w:ascii="仿宋_GB2312" w:eastAsia="仿宋_GB2312"/>
                <w:sz w:val="24"/>
              </w:rPr>
              <w:t>共</w:t>
            </w:r>
            <w:r>
              <w:rPr>
                <w:rFonts w:hint="eastAsia" w:ascii="仿宋_GB2312" w:eastAsia="仿宋_GB2312"/>
                <w:sz w:val="24"/>
                <w:lang w:val="en-US" w:eastAsia="zh-CN"/>
              </w:rPr>
              <w:t>10</w:t>
            </w:r>
            <w:r>
              <w:rPr>
                <w:rFonts w:hint="eastAsia" w:ascii="仿宋_GB2312" w:eastAsia="仿宋_GB2312"/>
                <w:sz w:val="24"/>
              </w:rPr>
              <w:t>分</w:t>
            </w: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eastAsia="仿宋_GB2312"/>
                <w:sz w:val="24"/>
              </w:rPr>
            </w:pPr>
            <w:r>
              <w:rPr>
                <w:rFonts w:hint="eastAsia" w:ascii="仿宋_GB2312" w:eastAsia="仿宋_GB2312"/>
                <w:sz w:val="24"/>
                <w:lang w:val="en-US" w:eastAsia="zh-CN"/>
              </w:rPr>
              <w:t>出勤情况</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eastAsia="仿宋_GB2312"/>
                <w:sz w:val="24"/>
                <w:lang w:val="en-US"/>
              </w:rPr>
            </w:pPr>
            <w:r>
              <w:rPr>
                <w:rFonts w:hint="eastAsia" w:ascii="仿宋_GB2312" w:eastAsia="仿宋_GB2312"/>
                <w:sz w:val="24"/>
                <w:lang w:val="en-US" w:eastAsia="zh-CN"/>
              </w:rPr>
              <w:t>5</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952"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sz w:val="24"/>
                <w:lang w:val="en-US"/>
              </w:rPr>
            </w:pPr>
            <w:r>
              <w:rPr>
                <w:rFonts w:hint="eastAsia" w:ascii="仿宋_GB2312" w:eastAsia="仿宋_GB2312"/>
                <w:sz w:val="24"/>
                <w:lang w:val="en-US" w:eastAsia="zh-CN"/>
              </w:rPr>
              <w:t>员工仪容仪表/言行举止</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952"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76" w:type="pct"/>
            <w:vMerge w:val="restart"/>
            <w:noWrap w:val="0"/>
            <w:vAlign w:val="top"/>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sz w:val="24"/>
                <w:lang w:val="en-US" w:eastAsia="zh-CN"/>
              </w:rPr>
            </w:pPr>
            <w:r>
              <w:rPr>
                <w:rFonts w:hint="eastAsia" w:ascii="仿宋_GB2312" w:eastAsia="仿宋_GB2312"/>
                <w:sz w:val="24"/>
                <w:lang w:val="en-US" w:eastAsia="zh-CN"/>
              </w:rPr>
              <w:t>作业安全情况</w:t>
            </w:r>
            <w:r>
              <w:rPr>
                <w:rFonts w:hint="eastAsia" w:ascii="仿宋_GB2312" w:eastAsia="仿宋_GB2312"/>
                <w:sz w:val="24"/>
              </w:rPr>
              <w:t>共1</w:t>
            </w:r>
            <w:r>
              <w:rPr>
                <w:rFonts w:hint="eastAsia" w:ascii="仿宋_GB2312" w:eastAsia="仿宋_GB2312"/>
                <w:sz w:val="24"/>
                <w:lang w:val="en-US" w:eastAsia="zh-CN"/>
              </w:rPr>
              <w:t>2</w:t>
            </w:r>
            <w:r>
              <w:rPr>
                <w:rFonts w:hint="eastAsia" w:ascii="仿宋_GB2312" w:eastAsia="仿宋_GB2312"/>
                <w:sz w:val="24"/>
              </w:rPr>
              <w:t>分</w:t>
            </w: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sz w:val="24"/>
                <w:lang w:val="en-US" w:eastAsia="zh-CN"/>
              </w:rPr>
            </w:pPr>
            <w:r>
              <w:rPr>
                <w:rFonts w:hint="eastAsia" w:ascii="仿宋_GB2312" w:hAnsi="Times New Roman" w:eastAsia="仿宋_GB2312" w:cs="Times New Roman"/>
                <w:sz w:val="24"/>
                <w:lang w:val="en-US" w:eastAsia="zh-CN"/>
              </w:rPr>
              <w:t>养护工具安全使用</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eastAsia="仿宋_GB2312"/>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sz w:val="24"/>
                <w:lang w:val="en-US"/>
              </w:rPr>
            </w:pPr>
            <w:r>
              <w:rPr>
                <w:rFonts w:hint="eastAsia" w:ascii="仿宋_GB2312" w:hAnsi="Times New Roman" w:eastAsia="仿宋_GB2312" w:cs="Times New Roman"/>
                <w:sz w:val="24"/>
                <w:lang w:val="en-US" w:eastAsia="zh-CN"/>
              </w:rPr>
              <w:t>除草剂、杀虫剂使用规范</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eastAsia="仿宋_GB2312"/>
                <w:sz w:val="24"/>
                <w:lang w:val="en-US" w:eastAsia="zh-CN"/>
              </w:rPr>
            </w:pPr>
            <w:r>
              <w:rPr>
                <w:rFonts w:hint="eastAsia" w:ascii="仿宋_GB2312" w:eastAsia="仿宋_GB2312"/>
                <w:sz w:val="24"/>
                <w:lang w:val="en-US" w:eastAsia="zh-CN"/>
              </w:rPr>
              <w:t>2</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eastAsia="仿宋_GB2312"/>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sz w:val="24"/>
                <w:lang w:val="en-US" w:eastAsia="zh-CN"/>
              </w:rPr>
            </w:pPr>
            <w:r>
              <w:rPr>
                <w:rFonts w:hint="eastAsia" w:ascii="仿宋_GB2312" w:eastAsia="仿宋_GB2312"/>
                <w:sz w:val="24"/>
                <w:lang w:val="en-US" w:eastAsia="zh-CN"/>
              </w:rPr>
              <w:t>登高作业（持证）</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eastAsia="仿宋_GB2312"/>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6" w:type="pct"/>
            <w:vMerge w:val="restar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sz w:val="24"/>
                <w:lang w:val="en-US" w:eastAsia="zh-CN"/>
              </w:rPr>
            </w:pPr>
            <w:r>
              <w:rPr>
                <w:rFonts w:hint="eastAsia" w:ascii="仿宋_GB2312" w:eastAsia="仿宋_GB2312"/>
                <w:sz w:val="24"/>
                <w:lang w:val="en-US" w:eastAsia="zh-CN"/>
              </w:rPr>
              <w:t>服务情况</w:t>
            </w:r>
            <w:r>
              <w:rPr>
                <w:rFonts w:hint="eastAsia" w:ascii="仿宋_GB2312" w:eastAsia="仿宋_GB2312"/>
                <w:sz w:val="24"/>
              </w:rPr>
              <w:t>共</w:t>
            </w:r>
            <w:r>
              <w:rPr>
                <w:rFonts w:hint="eastAsia" w:ascii="仿宋_GB2312" w:eastAsia="仿宋_GB2312"/>
                <w:sz w:val="24"/>
                <w:lang w:val="en-US" w:eastAsia="zh-CN"/>
              </w:rPr>
              <w:t>56</w:t>
            </w:r>
            <w:r>
              <w:rPr>
                <w:rFonts w:hint="eastAsia" w:ascii="仿宋_GB2312" w:eastAsia="仿宋_GB2312"/>
                <w:sz w:val="24"/>
              </w:rPr>
              <w:t>分</w:t>
            </w: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kern w:val="2"/>
                <w:sz w:val="24"/>
                <w:lang w:val="en-US" w:eastAsia="zh-CN" w:bidi="ar-SA"/>
              </w:rPr>
            </w:pPr>
            <w:r>
              <w:rPr>
                <w:rFonts w:hint="eastAsia" w:ascii="仿宋_GB2312" w:eastAsia="仿宋_GB2312"/>
                <w:sz w:val="24"/>
                <w:lang w:val="en-US" w:eastAsia="zh-CN"/>
              </w:rPr>
              <w:t>乔木修剪情况</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eastAsia="仿宋_GB2312"/>
                <w:sz w:val="24"/>
                <w:lang w:val="en-US" w:eastAsia="zh-CN"/>
              </w:rPr>
            </w:pPr>
            <w:r>
              <w:rPr>
                <w:rFonts w:hint="eastAsia" w:ascii="仿宋_GB2312" w:eastAsia="仿宋_GB2312"/>
                <w:sz w:val="24"/>
                <w:lang w:val="en-US" w:eastAsia="zh-CN"/>
              </w:rPr>
              <w:t>8</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eastAsia="仿宋_GB2312"/>
                <w:sz w:val="24"/>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eastAsia="仿宋_GB2312"/>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kern w:val="2"/>
                <w:sz w:val="24"/>
                <w:lang w:val="en-US" w:eastAsia="zh-CN" w:bidi="ar-SA"/>
              </w:rPr>
            </w:pPr>
            <w:r>
              <w:rPr>
                <w:rFonts w:hint="eastAsia" w:ascii="仿宋_GB2312" w:eastAsia="仿宋_GB2312"/>
                <w:sz w:val="24"/>
                <w:lang w:val="en-US" w:eastAsia="zh-CN"/>
              </w:rPr>
              <w:t>草坪修剪情况</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8</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kern w:val="2"/>
                <w:sz w:val="24"/>
                <w:lang w:val="en-US" w:eastAsia="zh-CN" w:bidi="ar-SA"/>
              </w:rPr>
            </w:pPr>
            <w:r>
              <w:rPr>
                <w:rFonts w:hint="eastAsia" w:ascii="仿宋_GB2312" w:eastAsia="仿宋_GB2312"/>
                <w:sz w:val="24"/>
                <w:lang w:val="en-US" w:eastAsia="zh-CN"/>
              </w:rPr>
              <w:t>遮挡路灯、警示标志的枝条修剪</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8</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kern w:val="2"/>
                <w:sz w:val="24"/>
                <w:lang w:val="en-US" w:eastAsia="zh-CN" w:bidi="ar-SA"/>
              </w:rPr>
            </w:pPr>
            <w:r>
              <w:rPr>
                <w:rFonts w:hint="eastAsia" w:ascii="仿宋_GB2312" w:eastAsia="仿宋_GB2312"/>
                <w:sz w:val="24"/>
                <w:lang w:val="en-US" w:eastAsia="zh-CN"/>
              </w:rPr>
              <w:t>树木的加固工作</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8</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lang w:val="en-US" w:eastAsia="zh-CN"/>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Times New Roman" w:eastAsia="仿宋_GB2312" w:cs="Times New Roman"/>
                <w:kern w:val="2"/>
                <w:sz w:val="24"/>
                <w:lang w:val="en-US" w:eastAsia="zh-CN" w:bidi="ar-SA"/>
              </w:rPr>
            </w:pPr>
            <w:r>
              <w:rPr>
                <w:rFonts w:hint="eastAsia" w:ascii="仿宋_GB2312" w:hAnsi="Times New Roman" w:eastAsia="仿宋_GB2312" w:cs="Times New Roman"/>
                <w:sz w:val="24"/>
                <w:lang w:val="en-US" w:eastAsia="zh-CN"/>
              </w:rPr>
              <w:t>野生绿植的修剪</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8</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lang w:val="en-US" w:eastAsia="zh-CN"/>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Times New Roman" w:eastAsia="仿宋_GB2312" w:cs="Times New Roman"/>
                <w:sz w:val="24"/>
                <w:lang w:val="en-US" w:eastAsia="zh-CN"/>
              </w:rPr>
            </w:pPr>
            <w:r>
              <w:rPr>
                <w:rFonts w:hint="eastAsia" w:ascii="仿宋_GB2312" w:eastAsia="仿宋_GB2312"/>
                <w:sz w:val="24"/>
                <w:lang w:val="en-US" w:eastAsia="zh-CN"/>
              </w:rPr>
              <w:t>绿环带内杂物、石块、绿化垃圾的清除</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8</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lang w:val="en-US" w:eastAsia="zh-CN"/>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植被预防虫害消杀情况</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8</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876" w:type="pct"/>
            <w:noWrap w:val="0"/>
            <w:vAlign w:val="top"/>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sz w:val="24"/>
                <w:lang w:val="en-US" w:eastAsia="zh-CN"/>
              </w:rPr>
            </w:pPr>
            <w:r>
              <w:rPr>
                <w:rFonts w:hint="eastAsia" w:ascii="仿宋_GB2312" w:eastAsia="仿宋_GB2312"/>
                <w:sz w:val="24"/>
                <w:lang w:val="en-US" w:eastAsia="zh-CN"/>
              </w:rPr>
              <w:t>自律情况</w:t>
            </w:r>
            <w:r>
              <w:rPr>
                <w:rFonts w:hint="eastAsia" w:ascii="仿宋_GB2312" w:eastAsia="仿宋_GB2312"/>
                <w:sz w:val="24"/>
              </w:rPr>
              <w:t>共</w:t>
            </w:r>
            <w:r>
              <w:rPr>
                <w:rFonts w:hint="eastAsia" w:ascii="仿宋_GB2312" w:eastAsia="仿宋_GB2312"/>
                <w:sz w:val="24"/>
                <w:lang w:val="en-US" w:eastAsia="zh-CN"/>
              </w:rPr>
              <w:t>10</w:t>
            </w:r>
            <w:r>
              <w:rPr>
                <w:rFonts w:hint="eastAsia" w:ascii="仿宋_GB2312" w:eastAsia="仿宋_GB2312"/>
                <w:sz w:val="24"/>
              </w:rPr>
              <w:t>分</w:t>
            </w: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Times New Roman" w:eastAsia="仿宋_GB2312" w:cs="Times New Roman"/>
                <w:sz w:val="24"/>
                <w:lang w:val="en-US" w:eastAsia="zh-CN"/>
              </w:rPr>
            </w:pPr>
            <w:r>
              <w:rPr>
                <w:rFonts w:hint="eastAsia" w:ascii="仿宋_GB2312" w:eastAsia="仿宋_GB2312"/>
                <w:sz w:val="24"/>
              </w:rPr>
              <w:t>违规情况</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10</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876" w:type="pct"/>
            <w:vMerge w:val="restar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eastAsia="仿宋_GB2312"/>
                <w:kern w:val="2"/>
                <w:sz w:val="24"/>
                <w:lang w:val="en-US" w:eastAsia="zh-CN" w:bidi="ar-SA"/>
              </w:rPr>
            </w:pPr>
            <w:r>
              <w:rPr>
                <w:rFonts w:hint="eastAsia" w:ascii="仿宋_GB2312" w:eastAsia="仿宋_GB2312"/>
                <w:sz w:val="24"/>
              </w:rPr>
              <w:t>管</w:t>
            </w:r>
            <w:r>
              <w:rPr>
                <w:rFonts w:hint="eastAsia" w:ascii="仿宋_GB2312" w:eastAsia="仿宋_GB2312"/>
                <w:sz w:val="24"/>
                <w:lang w:val="en-US" w:eastAsia="zh-CN"/>
              </w:rPr>
              <w:t xml:space="preserve"> </w:t>
            </w:r>
            <w:r>
              <w:rPr>
                <w:rFonts w:hint="eastAsia" w:ascii="仿宋_GB2312" w:eastAsia="仿宋_GB2312"/>
                <w:sz w:val="24"/>
              </w:rPr>
              <w:t>理共1</w:t>
            </w:r>
            <w:r>
              <w:rPr>
                <w:rFonts w:hint="eastAsia" w:ascii="仿宋_GB2312" w:eastAsia="仿宋_GB2312"/>
                <w:sz w:val="24"/>
                <w:lang w:val="en-US" w:eastAsia="zh-CN"/>
              </w:rPr>
              <w:t>2</w:t>
            </w:r>
            <w:r>
              <w:rPr>
                <w:rFonts w:hint="eastAsia" w:ascii="仿宋_GB2312" w:eastAsia="仿宋_GB2312"/>
                <w:sz w:val="24"/>
              </w:rPr>
              <w:t>分</w:t>
            </w: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kern w:val="2"/>
                <w:sz w:val="24"/>
                <w:lang w:val="en-US" w:eastAsia="zh-CN" w:bidi="ar-SA"/>
              </w:rPr>
            </w:pPr>
            <w:r>
              <w:rPr>
                <w:rFonts w:hint="eastAsia" w:ascii="仿宋_GB2312" w:eastAsia="仿宋_GB2312"/>
                <w:sz w:val="24"/>
              </w:rPr>
              <w:t>完善</w:t>
            </w:r>
            <w:r>
              <w:rPr>
                <w:rFonts w:hint="eastAsia" w:ascii="仿宋_GB2312" w:eastAsia="仿宋_GB2312"/>
                <w:sz w:val="24"/>
                <w:lang w:val="en-US" w:eastAsia="zh-CN"/>
              </w:rPr>
              <w:t>与整改情况</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876" w:type="pct"/>
            <w:vMerge w:val="continue"/>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lang w:val="en-US" w:eastAsia="zh-CN"/>
              </w:rPr>
            </w:pP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eastAsia="仿宋_GB2312"/>
                <w:kern w:val="2"/>
                <w:sz w:val="24"/>
                <w:lang w:val="en-US" w:eastAsia="zh-CN" w:bidi="ar-SA"/>
              </w:rPr>
            </w:pPr>
            <w:r>
              <w:rPr>
                <w:rFonts w:hint="eastAsia" w:ascii="仿宋_GB2312" w:eastAsia="仿宋_GB2312"/>
                <w:sz w:val="24"/>
              </w:rPr>
              <w:t>执行、培训、考核</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876"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eastAsia="仿宋_GB2312"/>
                <w:kern w:val="2"/>
                <w:sz w:val="24"/>
                <w:lang w:val="en-US" w:eastAsia="zh-CN" w:bidi="ar-SA"/>
              </w:rPr>
            </w:pPr>
            <w:r>
              <w:rPr>
                <w:rFonts w:hint="eastAsia" w:ascii="仿宋_GB2312" w:eastAsia="仿宋_GB2312"/>
                <w:sz w:val="24"/>
              </w:rPr>
              <w:t>其他责任事件</w:t>
            </w: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eastAsia="仿宋_GB2312"/>
                <w:kern w:val="2"/>
                <w:sz w:val="24"/>
                <w:lang w:val="en-US" w:eastAsia="zh-CN" w:bidi="ar-SA"/>
              </w:rPr>
            </w:pPr>
            <w:r>
              <w:rPr>
                <w:rFonts w:hint="eastAsia" w:ascii="仿宋_GB2312" w:eastAsia="仿宋_GB2312"/>
                <w:sz w:val="24"/>
              </w:rPr>
              <w:t>发生</w:t>
            </w:r>
            <w:r>
              <w:rPr>
                <w:rFonts w:hint="eastAsia" w:ascii="仿宋_GB2312" w:hAnsi="Times New Roman" w:eastAsia="仿宋_GB2312" w:cs="Times New Roman"/>
                <w:sz w:val="24"/>
              </w:rPr>
              <w:t>其他</w:t>
            </w:r>
            <w:r>
              <w:rPr>
                <w:rFonts w:hint="eastAsia" w:ascii="仿宋_GB2312" w:hAnsi="Times New Roman" w:eastAsia="仿宋_GB2312" w:cs="Times New Roman"/>
                <w:sz w:val="24"/>
                <w:lang w:val="en-US" w:eastAsia="zh-CN"/>
              </w:rPr>
              <w:t>绿化养护服务</w:t>
            </w:r>
            <w:r>
              <w:rPr>
                <w:rFonts w:hint="eastAsia" w:ascii="仿宋_GB2312" w:hAnsi="Times New Roman" w:eastAsia="仿宋_GB2312" w:cs="Times New Roman"/>
                <w:sz w:val="24"/>
              </w:rPr>
              <w:t>责任事件，酌情</w:t>
            </w:r>
            <w:r>
              <w:rPr>
                <w:rFonts w:hint="eastAsia" w:ascii="仿宋_GB2312" w:eastAsia="仿宋_GB2312"/>
                <w:sz w:val="24"/>
              </w:rPr>
              <w:t>扣除1—20分</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hAnsi="Times New Roman" w:eastAsia="仿宋_GB2312" w:cs="Times New Roman"/>
                <w:sz w:val="24"/>
                <w:lang w:val="en-US" w:eastAsia="zh-CN"/>
              </w:rPr>
            </w:pP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eastAsia" w:ascii="仿宋_GB2312" w:hAnsi="Times New Roman" w:eastAsia="仿宋_GB2312" w:cs="Times New Roman"/>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876" w:type="pct"/>
            <w:noWrap w:val="0"/>
            <w:vAlign w:val="top"/>
          </w:tcPr>
          <w:p>
            <w:pPr>
              <w:keepNext w:val="0"/>
              <w:keepLines w:val="0"/>
              <w:pageBreakBefore w:val="0"/>
              <w:kinsoku/>
              <w:wordWrap/>
              <w:overflowPunct/>
              <w:topLinePunct w:val="0"/>
              <w:autoSpaceDE/>
              <w:autoSpaceDN/>
              <w:bidi w:val="0"/>
              <w:adjustRightInd/>
              <w:snapToGrid/>
              <w:spacing w:line="336" w:lineRule="auto"/>
              <w:jc w:val="center"/>
              <w:rPr>
                <w:rFonts w:hint="eastAsia" w:ascii="仿宋_GB2312" w:eastAsia="仿宋_GB2312"/>
                <w:sz w:val="24"/>
                <w:lang w:val="en-US" w:eastAsia="zh-CN"/>
              </w:rPr>
            </w:pPr>
            <w:r>
              <w:rPr>
                <w:rFonts w:hint="eastAsia" w:ascii="仿宋_GB2312" w:eastAsia="仿宋_GB2312"/>
                <w:sz w:val="24"/>
                <w:lang w:val="en-US" w:eastAsia="zh-CN"/>
              </w:rPr>
              <w:t>总计得分</w:t>
            </w:r>
          </w:p>
        </w:tc>
        <w:tc>
          <w:tcPr>
            <w:tcW w:w="1619" w:type="pct"/>
            <w:noWrap w:val="0"/>
            <w:vAlign w:val="center"/>
          </w:tcPr>
          <w:p>
            <w:pPr>
              <w:keepNext w:val="0"/>
              <w:keepLines w:val="0"/>
              <w:pageBreakBefore w:val="0"/>
              <w:kinsoku/>
              <w:wordWrap/>
              <w:overflowPunct/>
              <w:topLinePunct w:val="0"/>
              <w:autoSpaceDE/>
              <w:autoSpaceDN/>
              <w:bidi w:val="0"/>
              <w:adjustRightInd/>
              <w:snapToGrid/>
              <w:spacing w:line="336" w:lineRule="auto"/>
              <w:jc w:val="both"/>
              <w:rPr>
                <w:rFonts w:hint="default" w:ascii="仿宋_GB2312" w:hAnsi="Times New Roman" w:eastAsia="仿宋_GB2312" w:cs="Times New Roman"/>
                <w:kern w:val="2"/>
                <w:sz w:val="24"/>
                <w:u w:val="single"/>
                <w:lang w:val="en-US" w:eastAsia="zh-CN" w:bidi="ar-SA"/>
              </w:rPr>
            </w:pPr>
            <w:r>
              <w:rPr>
                <w:rFonts w:hint="eastAsia" w:ascii="仿宋_GB2312" w:hAnsi="Times New Roman" w:eastAsia="仿宋_GB2312" w:cs="Times New Roman"/>
                <w:kern w:val="2"/>
                <w:sz w:val="24"/>
                <w:u w:val="single"/>
                <w:lang w:val="en-US" w:eastAsia="zh-CN" w:bidi="ar-SA"/>
              </w:rPr>
              <w:t xml:space="preserve">                      </w:t>
            </w:r>
          </w:p>
        </w:tc>
        <w:tc>
          <w:tcPr>
            <w:tcW w:w="405"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100</w:t>
            </w:r>
          </w:p>
        </w:tc>
        <w:tc>
          <w:tcPr>
            <w:tcW w:w="596"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549"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p>
        </w:tc>
        <w:tc>
          <w:tcPr>
            <w:tcW w:w="952" w:type="pct"/>
            <w:noWrap w:val="0"/>
            <w:vAlign w:val="top"/>
          </w:tcPr>
          <w:p>
            <w:pPr>
              <w:keepNext w:val="0"/>
              <w:keepLines w:val="0"/>
              <w:pageBreakBefore w:val="0"/>
              <w:kinsoku/>
              <w:wordWrap/>
              <w:overflowPunct/>
              <w:topLinePunct w:val="0"/>
              <w:autoSpaceDE/>
              <w:autoSpaceDN/>
              <w:bidi w:val="0"/>
              <w:adjustRightInd/>
              <w:snapToGrid/>
              <w:spacing w:line="336" w:lineRule="auto"/>
              <w:rPr>
                <w:rFonts w:hint="eastAsia" w:ascii="仿宋_GB2312" w:hAnsi="Times New Roman" w:eastAsia="仿宋_GB2312" w:cs="Times New Roman"/>
                <w:sz w:val="24"/>
                <w:lang w:val="en-US" w:eastAsia="zh-CN"/>
              </w:rPr>
            </w:pPr>
            <w:r>
              <w:rPr>
                <w:rFonts w:hint="eastAsia" w:ascii="仿宋_GB2312" w:eastAsia="仿宋_GB2312"/>
                <w:sz w:val="24"/>
              </w:rPr>
              <w:t>（考评说明附后）</w:t>
            </w:r>
          </w:p>
        </w:tc>
      </w:tr>
    </w:tbl>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考评说明：</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一、此考评表为单次服务考评表。每次服务由综合保障部考核汇总，报绿化养护服务公司领导。</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二、绿化养护服务工作接受公司领导、综合保障部经理及安全质量管理部人员检查，并接受公司各部人员监督。</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三、绿化养护服务人员严格按照《绿化养护三级标准》操作执行，处理问题及时、恰当。表中相应项目合格得满分。</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四、表中各项如有一项出现第一次不合格。扣1分。出现第二次不合格，加扣到2分。第三次为4分。依次类推。</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五、自律项目中“违规情况”出现问题，第一次10分全扣并报综合保障部及绿化养护服务公司领导。</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六、（四）其他责任事件考核依据《进入公司须知》，《上海机场中航佳美航空食品有限公司及外部人员不规范行为细则的管理规定（第四版）》。</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七、每月绿化养护服务考评得90分（含）以上为合格。每月绿化养护服务考评得90分（不含）以下时，我司需按照如下比例扣除供应商当次绿化养护服务费：当得分介于86至90分（含86分、不含90分）时，每低于合格分数一分扣除当次绿化养护服务费1%；当得分介于81至86分（含81分、不含86分）时，每低于合格分数一分扣除当次绿化养护服务费2%；当得分低于80分（含）时，每低于合格分数一分扣除当次绿化养护服务费3%</w:t>
      </w:r>
      <w:r>
        <w:rPr>
          <w:rFonts w:hint="eastAsia" w:ascii="仿宋_GB2312" w:hAnsi="仿宋_GB2312" w:eastAsia="仿宋_GB2312" w:cs="仿宋_GB2312"/>
          <w:sz w:val="24"/>
          <w:szCs w:val="24"/>
          <w:lang w:eastAsia="zh-CN"/>
        </w:rPr>
        <w:t>。</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八、本考评表由综合保障部负责解释</w:t>
      </w:r>
      <w:r>
        <w:rPr>
          <w:rFonts w:hint="eastAsia" w:ascii="仿宋_GB2312" w:hAnsi="仿宋_GB2312" w:eastAsia="仿宋_GB2312" w:cs="仿宋_GB2312"/>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025B5"/>
    <w:multiLevelType w:val="singleLevel"/>
    <w:tmpl w:val="809025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75454"/>
    <w:rsid w:val="061743C4"/>
    <w:rsid w:val="15346E6D"/>
    <w:rsid w:val="28775454"/>
    <w:rsid w:val="2DFE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sz w:val="24"/>
    </w:rPr>
  </w:style>
  <w:style w:type="paragraph" w:styleId="5">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2025-04-18T01:38:00Z</dcterms:created>
  <dc:creator>叶细婷</dc:creator>
  <cp:lastModifiedBy>叶细婷</cp:lastModifiedBy>
  <dcterms:modified xsi:type="dcterms:W3CDTF">2025-04-19T06:39:39Z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