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装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技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术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方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案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1  </w:t>
      </w:r>
      <w:r>
        <w:rPr>
          <w:rFonts w:hint="eastAsia"/>
          <w:sz w:val="28"/>
          <w:szCs w:val="28"/>
        </w:rPr>
        <w:t>次方案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一、用户名称：</w:t>
      </w:r>
      <w:r>
        <w:rPr>
          <w:rFonts w:hint="eastAsia"/>
          <w:sz w:val="28"/>
          <w:szCs w:val="28"/>
          <w:lang w:val="en-US" w:eastAsia="zh-CN"/>
        </w:rPr>
        <w:t>北京航空食品有限公司</w:t>
      </w:r>
    </w:p>
    <w:p>
      <w:pPr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二、报装号码：R-BD-</w:t>
      </w:r>
      <w:r>
        <w:rPr>
          <w:rFonts w:hint="eastAsia"/>
          <w:sz w:val="28"/>
          <w:szCs w:val="28"/>
          <w:lang w:val="en-US" w:eastAsia="zh-CN"/>
        </w:rPr>
        <w:t xml:space="preserve">012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三、现场核实情况：</w:t>
      </w:r>
    </w:p>
    <w:p>
      <w:pPr>
        <w:ind w:left="1680" w:hanging="1680" w:hangingChars="600"/>
        <w:rPr>
          <w:rFonts w:hint="default"/>
          <w:sz w:val="28"/>
          <w:szCs w:val="28"/>
          <w:lang w:val="en-US" w:eastAsia="zh-CN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、用电地址：</w:t>
      </w:r>
      <w:r>
        <w:rPr>
          <w:rFonts w:hint="eastAsia"/>
          <w:sz w:val="28"/>
          <w:szCs w:val="28"/>
          <w:lang w:val="en-US" w:eastAsia="zh-CN"/>
        </w:rPr>
        <w:t>北京市顺义区南法信府前街47号</w:t>
      </w:r>
    </w:p>
    <w:p>
      <w:pPr>
        <w:ind w:left="1680" w:hanging="1680" w:hangingChars="600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2、现有设备：</w:t>
      </w:r>
      <w:r>
        <w:rPr>
          <w:rFonts w:hint="eastAsia"/>
          <w:sz w:val="28"/>
          <w:szCs w:val="28"/>
          <w:lang w:val="en-US" w:eastAsia="zh-CN"/>
        </w:rPr>
        <w:t>无</w:t>
      </w:r>
    </w:p>
    <w:p>
      <w:pPr>
        <w:ind w:left="1540" w:hanging="1540" w:hangingChars="550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3、新增设备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新增2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座10kV箱式变电站（单座箱变安装2台630kVA变电器）</w:t>
      </w:r>
    </w:p>
    <w:p>
      <w:pPr>
        <w:rPr>
          <w:rFonts w:hint="default" w:ascii="宋体" w:hAnsi="宋体" w:eastAsia="宋体" w:cs="宋体"/>
          <w:color w:val="0000FF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4、批准新增变压器容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量：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2520kVA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四、技术方案：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1．供电方案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根据北京航空食品有限公司新能源食品车充电需求，需在航食院内新建2座10kV箱式变电站满足用电需求。</w:t>
      </w:r>
    </w:p>
    <w:p>
      <w:pPr>
        <w:ind w:firstLine="560" w:firstLineChars="200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根据客户的用电申请，按照安全、经济、合理的原则，结合供电条件及客户用电性质，经现场勘察，确定供电方案如下：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新建2座10kV</w:t>
      </w:r>
      <w:r>
        <w:rPr>
          <w:rFonts w:hint="eastAsia"/>
          <w:sz w:val="28"/>
          <w:szCs w:val="28"/>
          <w:lang w:val="en-US" w:eastAsia="zh-CN"/>
        </w:rPr>
        <w:t>箱式变电站，其中1号箱变两路进线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分别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由</w:t>
      </w:r>
      <w:r>
        <w:rPr>
          <w:rFonts w:hint="eastAsia"/>
          <w:sz w:val="28"/>
          <w:szCs w:val="28"/>
          <w:lang w:val="en-US" w:eastAsia="zh-CN"/>
        </w:rPr>
        <w:t>k8开闭站215开关、225开关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两段不同10kV母线双路电源供电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，2号箱变由1号箱变双路供电。考虑后期用电需求，1号箱变建议开关柜设置为2进6出，2号箱变建议开关柜设置为2进2出。进线</w:t>
      </w:r>
      <w:r>
        <w:rPr>
          <w:rFonts w:hint="eastAsia" w:ascii="宋体" w:hAnsi="宋体" w:eastAsia="宋体" w:cs="宋体"/>
          <w:sz w:val="28"/>
          <w:szCs w:val="28"/>
        </w:rPr>
        <w:t>电缆型号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选用ZRC-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YJ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V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vertAlign w:val="subscript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-8.7/15kV-3×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300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mm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供电电缆沿部分原有管网以及新建管网敷设，新建电缆管网应依据设计标准图集建设，并预留备用管及做好防水，具体敷设路径以现场踏勘及物探结果为准。</w:t>
      </w:r>
      <w:r>
        <w:rPr>
          <w:rFonts w:hint="eastAsia" w:ascii="宋体" w:hAnsi="宋体"/>
          <w:sz w:val="28"/>
          <w:szCs w:val="28"/>
        </w:rPr>
        <w:t>电缆</w:t>
      </w:r>
      <w:r>
        <w:rPr>
          <w:rFonts w:hint="eastAsia"/>
          <w:sz w:val="28"/>
          <w:szCs w:val="28"/>
        </w:rPr>
        <w:t>进出建筑物应采用柔性封堵装置封堵。敷设供电电缆的同时敷设一条24芯单模光纤至</w:t>
      </w:r>
      <w:r>
        <w:rPr>
          <w:rFonts w:hint="eastAsia"/>
          <w:sz w:val="28"/>
          <w:szCs w:val="28"/>
          <w:lang w:val="en-US" w:eastAsia="zh-CN"/>
        </w:rPr>
        <w:t>K8开闭</w:t>
      </w:r>
      <w:r>
        <w:rPr>
          <w:rFonts w:hint="eastAsia"/>
          <w:sz w:val="28"/>
          <w:szCs w:val="28"/>
        </w:rPr>
        <w:t>站，并</w:t>
      </w:r>
      <w:r>
        <w:rPr>
          <w:rFonts w:hint="eastAsia"/>
          <w:sz w:val="28"/>
          <w:szCs w:val="28"/>
          <w:lang w:val="en-US" w:eastAsia="zh-CN"/>
        </w:rPr>
        <w:t>在箱变</w:t>
      </w:r>
      <w:r>
        <w:rPr>
          <w:rFonts w:hint="eastAsia"/>
          <w:sz w:val="28"/>
          <w:szCs w:val="28"/>
        </w:rPr>
        <w:t>安装电力监控设备一套，需将监控系统接入现有首都机场电网集中监控系统（或上游电源站），接受统一用电调度管理。</w:t>
      </w:r>
    </w:p>
    <w:p>
      <w:pPr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建成后应按要求开展交接试验，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接地、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继电保护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应按相关电气规程进行设计，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定值需按设计要求进行整定计算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/>
          <w:sz w:val="28"/>
          <w:szCs w:val="28"/>
          <w:lang w:val="en-US" w:eastAsia="zh-CN"/>
        </w:rPr>
        <w:t>施工结束后，提交箱变设备及电缆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试验报告，综保整定值交由供电站审核，经现场验收合格，双方签订代维合同或高压客户用电安全协议书后方可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投入运行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ind w:firstLine="560" w:firstLineChars="200"/>
        <w:rPr>
          <w:rFonts w:hint="default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K8开闭站剩余空开关，</w:t>
      </w:r>
      <w:r>
        <w:rPr>
          <w:rFonts w:hint="eastAsia"/>
          <w:sz w:val="28"/>
          <w:szCs w:val="28"/>
          <w:highlight w:val="none"/>
          <w:lang w:val="en-US" w:eastAsia="zh-CN"/>
        </w:rPr>
        <w:t>北京航空食品有限公司具有其中1路开关产权及使用权，需与中国国际航空公司再协调1路开关使用权，上述方案方可实施。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3．计量方案</w:t>
      </w:r>
    </w:p>
    <w:p>
      <w:pPr>
        <w:ind w:firstLine="560" w:firstLineChars="200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计量采用高供高计，首端计量方式，由K8开闭站215、225出线柜内分别安装高压计量表，电能表选用3</w:t>
      </w:r>
      <w:r>
        <w:rPr>
          <w:rFonts w:hint="default"/>
          <w:sz w:val="28"/>
          <w:szCs w:val="28"/>
          <w:highlight w:val="none"/>
          <w:lang w:val="en-US" w:eastAsia="zh-CN"/>
        </w:rPr>
        <w:t>×</w:t>
      </w:r>
      <w:r>
        <w:rPr>
          <w:rFonts w:hint="eastAsia"/>
          <w:sz w:val="28"/>
          <w:szCs w:val="28"/>
          <w:highlight w:val="none"/>
          <w:lang w:val="en-US" w:eastAsia="zh-CN"/>
        </w:rPr>
        <w:t>100V三相三线智能电能表，电能表支持正、反向有功计量、分时计量，具有电能质量参数测量（电压、电流、功率因数、有功功率、无功功率等）功能，电能表需满足相应国家规范；电能表精度、互感器精度不应低于0.5S级，电能表量程与互感器量程应相匹配，变比需满足计量要求；电能表应具有双RS485通讯接口，将485-2接口通过485屏蔽线与K8内专变采集终端或与之相连的电能表并联；电能计量装置的安装接线应符合DL/T 825-2021电能计量装置安装接线规则与DL∕T 448-2016 电能计量装置技术管理规程的要求；电能表通信规约应符合DL/645-2007版及以上要求；电能表需经检定合格，并将检定证书提交销售分公司备案，表具验收合格后供能，并应做好铅封。</w:t>
      </w:r>
    </w:p>
    <w:p>
      <w:pPr>
        <w:ind w:firstLine="560" w:firstLineChars="200"/>
        <w:rPr>
          <w:rFonts w:hint="eastAsia"/>
          <w:sz w:val="28"/>
          <w:szCs w:val="28"/>
          <w:highlight w:val="none"/>
          <w:lang w:val="en-US" w:eastAsia="zh-CN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用户供电协议需与销售分公司于供电前确认。</w:t>
      </w:r>
    </w:p>
    <w:p>
      <w:pPr>
        <w:ind w:firstLine="57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4．应遵守的标准规范（不仅限于）</w:t>
      </w:r>
    </w:p>
    <w:p>
      <w:pPr>
        <w:ind w:left="561" w:leftChars="267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《首都机场电网客户供电报装10kV及以下工程技术标准》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《DB11T／1147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10kV及以下配电网建设技术规范》</w:t>
      </w:r>
    </w:p>
    <w:p>
      <w:pPr>
        <w:ind w:left="561" w:leftChars="267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《DB11／T963 电力管道建设技术规范》</w:t>
      </w:r>
    </w:p>
    <w:p>
      <w:pPr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GB50053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20kV及以下变电所设计规范》</w:t>
      </w:r>
    </w:p>
    <w:p>
      <w:pPr>
        <w:spacing w:line="360" w:lineRule="auto"/>
        <w:ind w:firstLine="57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《GB50217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电力工程电缆设计规范》</w:t>
      </w:r>
    </w:p>
    <w:p>
      <w:pPr>
        <w:spacing w:line="360" w:lineRule="auto"/>
        <w:ind w:firstLine="57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GB50062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电力装置的继电保护和自动装置设计规范》</w:t>
      </w:r>
    </w:p>
    <w:p>
      <w:pPr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GB50147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电气装置安装工程高压电器施工及验收规范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</w:p>
    <w:p>
      <w:pPr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《GB50254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电气装置安装工程低压电器施工及验收规范》</w:t>
      </w:r>
    </w:p>
    <w:p>
      <w:pPr>
        <w:spacing w:line="360" w:lineRule="auto"/>
        <w:ind w:firstLine="57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《GB50168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电气装置安装工程电缆线路施工及验收标准》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《GB50150</w:t>
      </w:r>
      <w:r>
        <w:rPr>
          <w:rFonts w:hint="eastAsia" w:ascii="宋体" w:hAnsi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电气装置安装工程电气设备交接试验标准》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5．界面划分</w:t>
      </w:r>
    </w:p>
    <w:p>
      <w:pPr>
        <w:ind w:firstLine="560" w:firstLineChars="200"/>
        <w:rPr>
          <w:rFonts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根据国家相关标准和动力能源公司规定，以电源接入点为分界点，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k8开闭站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10kV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馈线柜接入点以下设备（含电缆、光纤、监控设备等）产权归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用户</w:t>
      </w:r>
      <w:r>
        <w:rPr>
          <w:rFonts w:hint="eastAsia" w:ascii="宋体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所有，设备的运行、维护、抢修等责任由用户负责，动力能源公司负有能源使用监管责任。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如需委托运维，需另行办理委托运维手续，并于相应变电设施正式送电前完成运维手续的办理工作。</w:t>
      </w:r>
    </w:p>
    <w:p>
      <w:pPr>
        <w:ind w:firstLine="560" w:firstLineChars="20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变电站投运后，用户有义务配合供电方进行停电工作。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五、接用简图</w:t>
      </w:r>
    </w:p>
    <w:p>
      <w:pPr>
        <w:rPr>
          <w:rFonts w:hint="eastAsia" w:eastAsia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293360" cy="3904615"/>
            <wp:effectExtent l="0" t="0" r="2540" b="63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3360" cy="3904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六、首都机场供电方式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1．供电电源电压等级和接地方式：10</w:t>
      </w:r>
      <w:r>
        <w:rPr>
          <w:rFonts w:hint="eastAsia"/>
          <w:sz w:val="28"/>
          <w:szCs w:val="28"/>
          <w:lang w:val="en-US" w:eastAsia="zh-CN"/>
        </w:rPr>
        <w:t>.5</w:t>
      </w:r>
      <w:r>
        <w:rPr>
          <w:rFonts w:hint="eastAsia"/>
          <w:sz w:val="28"/>
          <w:szCs w:val="28"/>
        </w:rPr>
        <w:t>kV，经</w:t>
      </w:r>
      <w:r>
        <w:rPr>
          <w:rFonts w:hint="eastAsia"/>
          <w:sz w:val="28"/>
          <w:szCs w:val="28"/>
          <w:lang w:val="en-US" w:eastAsia="zh-CN"/>
        </w:rPr>
        <w:t>小电阻</w:t>
      </w:r>
      <w:r>
        <w:rPr>
          <w:rFonts w:hint="eastAsia"/>
          <w:sz w:val="28"/>
          <w:szCs w:val="28"/>
        </w:rPr>
        <w:t>接地系统</w:t>
      </w:r>
    </w:p>
    <w:p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2．供电回路：双回路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七、方案说明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1．用电方应按照相关政策规定，承担相应的配电设施建设费用；应按照相关规范要求，提供配电设施安装和运行的场所；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2．本供电方案是供用电双方进行工程设计、施工、验收的依据；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本供电方案在双方确认后原则上不得随意改动。由于用电方原因，如客户名称、用电地址、用电性质、重要等级、用电最大负荷、供电电源点、外电源路径、供电方式等影响供电方案可行性的重要因素发生变化时，用电方应主动提交变更资料，供电方负责修改或重新编制供电方案。由于供电方或第三方原因确需修改供电方案的，由供用电双方协商确定后，重新编制供电方案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4．如用电方申请用电为临时用电，供电期限一般不超过2年，到期后如继续使用，需办理延期手续，逾期不办理的，供电方可终止供电。</w:t>
      </w:r>
    </w:p>
    <w:p>
      <w:pPr>
        <w:ind w:firstLine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5．需委托具备资质的设计单位、施工单位进行相关设计、施工工作，并将相关单位资质文件送动力能源公司备案。</w:t>
      </w:r>
    </w:p>
    <w:p>
      <w:pPr>
        <w:ind w:firstLine="56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sz w:val="28"/>
          <w:szCs w:val="28"/>
        </w:rPr>
        <w:t>．</w:t>
      </w:r>
      <w:r>
        <w:rPr>
          <w:rFonts w:hint="eastAsia" w:ascii="宋体" w:hAnsi="宋体"/>
          <w:sz w:val="28"/>
          <w:szCs w:val="28"/>
          <w:lang w:val="en-US" w:eastAsia="zh-CN"/>
        </w:rPr>
        <w:t>电气设备应选择具有生产许可证、产品合格证及电网入网产品。</w:t>
      </w:r>
    </w:p>
    <w:p>
      <w:pPr>
        <w:ind w:firstLine="57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sz w:val="28"/>
          <w:szCs w:val="28"/>
        </w:rPr>
        <w:t>．</w:t>
      </w:r>
      <w:r>
        <w:rPr>
          <w:rFonts w:hint="eastAsia" w:ascii="宋体" w:hAnsi="宋体"/>
          <w:sz w:val="28"/>
          <w:szCs w:val="28"/>
          <w:lang w:val="en-US" w:eastAsia="zh-CN"/>
        </w:rPr>
        <w:t>依据供电方案及相关设计规范</w:t>
      </w:r>
      <w:r>
        <w:rPr>
          <w:rFonts w:hint="eastAsia" w:ascii="宋体" w:hAnsi="宋体"/>
          <w:sz w:val="28"/>
          <w:szCs w:val="28"/>
        </w:rPr>
        <w:t>设计完成后，需按要求提交设计</w:t>
      </w:r>
      <w:r>
        <w:rPr>
          <w:rFonts w:hint="eastAsia" w:ascii="宋体" w:hAnsi="宋体"/>
          <w:sz w:val="28"/>
          <w:szCs w:val="28"/>
          <w:lang w:val="en-US" w:eastAsia="zh-CN"/>
        </w:rPr>
        <w:t>方案及</w:t>
      </w:r>
      <w:r>
        <w:rPr>
          <w:rFonts w:hint="eastAsia" w:ascii="宋体" w:hAnsi="宋体"/>
          <w:sz w:val="28"/>
          <w:szCs w:val="28"/>
        </w:rPr>
        <w:t>图纸到动力能源公司进行沟通审核，沟通审核通过后方可实施。</w:t>
      </w:r>
    </w:p>
    <w:p>
      <w:pPr>
        <w:rPr>
          <w:sz w:val="28"/>
          <w:szCs w:val="28"/>
        </w:rPr>
      </w:pPr>
    </w:p>
    <w:p>
      <w:pPr>
        <w:ind w:firstLine="3990" w:firstLineChars="1900"/>
      </w:pPr>
      <w:bookmarkStart w:id="0" w:name="_GoBack"/>
      <w:bookmarkEnd w:id="0"/>
    </w:p>
    <w:sectPr>
      <w:pgSz w:w="11906" w:h="16838"/>
      <w:pgMar w:top="1240" w:right="1800" w:bottom="8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NjVkM2I4ODlhODczY2Q1NDE4ZDgxNTEzNGU4NmEifQ=="/>
  </w:docVars>
  <w:rsids>
    <w:rsidRoot w:val="00245983"/>
    <w:rsid w:val="000119BD"/>
    <w:rsid w:val="00066023"/>
    <w:rsid w:val="000762B9"/>
    <w:rsid w:val="000F7236"/>
    <w:rsid w:val="001714BF"/>
    <w:rsid w:val="001D0CBB"/>
    <w:rsid w:val="00204B01"/>
    <w:rsid w:val="002236EC"/>
    <w:rsid w:val="00231FBC"/>
    <w:rsid w:val="00245163"/>
    <w:rsid w:val="00245983"/>
    <w:rsid w:val="00257C00"/>
    <w:rsid w:val="002A2A4D"/>
    <w:rsid w:val="002A68AC"/>
    <w:rsid w:val="003528DA"/>
    <w:rsid w:val="00363819"/>
    <w:rsid w:val="00363D3D"/>
    <w:rsid w:val="00367514"/>
    <w:rsid w:val="003B50FB"/>
    <w:rsid w:val="00415F83"/>
    <w:rsid w:val="00492147"/>
    <w:rsid w:val="004C28F4"/>
    <w:rsid w:val="004E6258"/>
    <w:rsid w:val="005260F6"/>
    <w:rsid w:val="00582E5E"/>
    <w:rsid w:val="005C51F1"/>
    <w:rsid w:val="005F26EA"/>
    <w:rsid w:val="00630FD9"/>
    <w:rsid w:val="0068487A"/>
    <w:rsid w:val="006878F2"/>
    <w:rsid w:val="006962AE"/>
    <w:rsid w:val="00697C90"/>
    <w:rsid w:val="006B2482"/>
    <w:rsid w:val="006D2E72"/>
    <w:rsid w:val="00752DD0"/>
    <w:rsid w:val="00780635"/>
    <w:rsid w:val="0079601C"/>
    <w:rsid w:val="007B1595"/>
    <w:rsid w:val="007B1A98"/>
    <w:rsid w:val="007F6AC1"/>
    <w:rsid w:val="00840289"/>
    <w:rsid w:val="008C7181"/>
    <w:rsid w:val="008F1D94"/>
    <w:rsid w:val="00937852"/>
    <w:rsid w:val="00950547"/>
    <w:rsid w:val="00952432"/>
    <w:rsid w:val="00977E85"/>
    <w:rsid w:val="0098550F"/>
    <w:rsid w:val="00996848"/>
    <w:rsid w:val="009E7574"/>
    <w:rsid w:val="00A635CD"/>
    <w:rsid w:val="00AA2C07"/>
    <w:rsid w:val="00B72DF9"/>
    <w:rsid w:val="00BC2A24"/>
    <w:rsid w:val="00BE5F3B"/>
    <w:rsid w:val="00BF7744"/>
    <w:rsid w:val="00C05B6F"/>
    <w:rsid w:val="00C0798C"/>
    <w:rsid w:val="00C67685"/>
    <w:rsid w:val="00C8351E"/>
    <w:rsid w:val="00C85EF9"/>
    <w:rsid w:val="00CA4F08"/>
    <w:rsid w:val="00CC2FFE"/>
    <w:rsid w:val="00CF63CC"/>
    <w:rsid w:val="00D133F3"/>
    <w:rsid w:val="00D61A6F"/>
    <w:rsid w:val="00DB3C03"/>
    <w:rsid w:val="00DE1D90"/>
    <w:rsid w:val="00DE5DED"/>
    <w:rsid w:val="00E361E4"/>
    <w:rsid w:val="00E4393E"/>
    <w:rsid w:val="00E53B99"/>
    <w:rsid w:val="00E62CC4"/>
    <w:rsid w:val="00ED25D7"/>
    <w:rsid w:val="00ED2DCB"/>
    <w:rsid w:val="00F00665"/>
    <w:rsid w:val="00F03AAA"/>
    <w:rsid w:val="00F506EC"/>
    <w:rsid w:val="00F6581B"/>
    <w:rsid w:val="00F77334"/>
    <w:rsid w:val="00FD2D47"/>
    <w:rsid w:val="028031D2"/>
    <w:rsid w:val="02CF1E73"/>
    <w:rsid w:val="0431307E"/>
    <w:rsid w:val="04367A85"/>
    <w:rsid w:val="06716536"/>
    <w:rsid w:val="07EC3FDF"/>
    <w:rsid w:val="08D43C95"/>
    <w:rsid w:val="0A365F13"/>
    <w:rsid w:val="0A6023A6"/>
    <w:rsid w:val="0EC7433A"/>
    <w:rsid w:val="0EFC4E39"/>
    <w:rsid w:val="1A7D4DCF"/>
    <w:rsid w:val="1BCF4055"/>
    <w:rsid w:val="1D7725E5"/>
    <w:rsid w:val="20FF5A63"/>
    <w:rsid w:val="23E82EAF"/>
    <w:rsid w:val="243C2058"/>
    <w:rsid w:val="257372E1"/>
    <w:rsid w:val="26613C06"/>
    <w:rsid w:val="29622B06"/>
    <w:rsid w:val="2D8E24BE"/>
    <w:rsid w:val="2E530E93"/>
    <w:rsid w:val="30EA59AA"/>
    <w:rsid w:val="328C3F26"/>
    <w:rsid w:val="3A06784A"/>
    <w:rsid w:val="3C236125"/>
    <w:rsid w:val="3C9302DD"/>
    <w:rsid w:val="42E0283E"/>
    <w:rsid w:val="43BD0E1E"/>
    <w:rsid w:val="4C704C4D"/>
    <w:rsid w:val="4EE57781"/>
    <w:rsid w:val="52564D0E"/>
    <w:rsid w:val="549A29C2"/>
    <w:rsid w:val="59D52ECA"/>
    <w:rsid w:val="5E145259"/>
    <w:rsid w:val="5E655CD1"/>
    <w:rsid w:val="5EB82DE7"/>
    <w:rsid w:val="602D47F0"/>
    <w:rsid w:val="64A813AD"/>
    <w:rsid w:val="675C78C4"/>
    <w:rsid w:val="67FD54C9"/>
    <w:rsid w:val="686458F8"/>
    <w:rsid w:val="69913AE4"/>
    <w:rsid w:val="6A814165"/>
    <w:rsid w:val="6BEF08CA"/>
    <w:rsid w:val="6D4824E8"/>
    <w:rsid w:val="71461777"/>
    <w:rsid w:val="73EE0D80"/>
    <w:rsid w:val="73F56593"/>
    <w:rsid w:val="7875027E"/>
    <w:rsid w:val="7F605B03"/>
    <w:rsid w:val="7F66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批注文字 Char"/>
    <w:basedOn w:val="8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4">
    <w:name w:val="批注主题 Char"/>
    <w:basedOn w:val="13"/>
    <w:link w:val="6"/>
    <w:semiHidden/>
    <w:qFormat/>
    <w:uiPriority w:val="99"/>
    <w:rPr>
      <w:rFonts w:ascii="Calibri" w:hAnsi="Calibri" w:eastAsia="宋体" w:cs="Times New Roman"/>
      <w:b/>
      <w:bCs/>
    </w:rPr>
  </w:style>
  <w:style w:type="paragraph" w:customStyle="1" w:styleId="15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1876</Words>
  <Characters>2105</Characters>
  <Lines>23</Lines>
  <Paragraphs>6</Paragraphs>
  <TotalTime>3</TotalTime>
  <ScaleCrop>false</ScaleCrop>
  <LinksUpToDate>false</LinksUpToDate>
  <CharactersWithSpaces>2182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2021-07-23T06:36:00Z</dcterms:created>
  <dc:creator>徐硕</dc:creator>
  <cp:lastModifiedBy>刘英杰</cp:lastModifiedBy>
  <cp:lastPrinted>2021-07-07T08:30:00Z</cp:lastPrinted>
  <dcterms:modified xsi:type="dcterms:W3CDTF">2025-04-03T05:40:06Z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29825B105322433C81B418B26B051304_13</vt:lpwstr>
  </property>
</Properties>
</file>