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新鲜鸡蛋</w:t>
      </w:r>
      <w:r>
        <w:rPr>
          <w:rFonts w:hint="eastAsia" w:ascii="方正小标宋简体" w:hAnsi="方正小标宋简体" w:eastAsia="方正小标宋简体" w:cs="方正小标宋简体"/>
          <w:color w:val="auto"/>
          <w:kern w:val="0"/>
          <w:sz w:val="44"/>
          <w:szCs w:val="44"/>
          <w:highlight w:val="none"/>
        </w:rPr>
        <w:t>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w:t>
      </w:r>
      <w:r>
        <w:rPr>
          <w:rFonts w:hint="eastAsia" w:ascii="仿宋_GB2312" w:hAnsi="仿宋_GB2312" w:eastAsia="仿宋_GB2312" w:cs="仿宋_GB2312"/>
          <w:color w:val="auto"/>
          <w:kern w:val="0"/>
          <w:sz w:val="32"/>
          <w:szCs w:val="32"/>
          <w:highlight w:val="none"/>
          <w:lang w:eastAsia="zh-CN"/>
        </w:rPr>
        <w:t>上海中航航空食品有限公司</w:t>
      </w:r>
      <w:r>
        <w:rPr>
          <w:rFonts w:hint="eastAsia" w:ascii="仿宋_GB2312" w:hAnsi="仿宋_GB2312" w:eastAsia="仿宋_GB2312" w:cs="仿宋_GB2312"/>
          <w:color w:val="auto"/>
          <w:kern w:val="0"/>
          <w:sz w:val="32"/>
          <w:szCs w:val="32"/>
          <w:highlight w:val="none"/>
        </w:rPr>
        <w:t>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新鲜鸡蛋项目采购需求</w:t>
      </w:r>
    </w:p>
    <w:p>
      <w:pPr>
        <w:keepNext w:val="0"/>
        <w:keepLines w:val="0"/>
        <w:pageBreakBefore w:val="0"/>
        <w:widowControl w:val="0"/>
        <w:kinsoku/>
        <w:wordWrap/>
        <w:overflowPunct/>
        <w:topLinePunct w:val="0"/>
        <w:autoSpaceDE/>
        <w:autoSpaceDN/>
        <w:bidi w:val="0"/>
        <w:adjustRightInd/>
        <w:snapToGrid/>
        <w:spacing w:after="78" w:afterLines="25" w:line="336" w:lineRule="auto"/>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2.合同期限：自合同签订之日起2年，合同期限内新鲜鸡蛋报价周期为每六十天一次（如遇节假日等相应顺延），合同期内的每阶段重新报价后，如中选，将按照采购结果签订一份原材料补充协议。</w:t>
      </w:r>
      <w:bookmarkStart w:id="0" w:name="_GoBack"/>
      <w:bookmarkEnd w:id="0"/>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5"/>
        <w:tblW w:w="5329" w:type="pct"/>
        <w:tblInd w:w="0" w:type="dxa"/>
        <w:tblLayout w:type="fixed"/>
        <w:tblCellMar>
          <w:top w:w="0" w:type="dxa"/>
          <w:left w:w="108" w:type="dxa"/>
          <w:bottom w:w="0" w:type="dxa"/>
          <w:right w:w="108" w:type="dxa"/>
        </w:tblCellMar>
      </w:tblPr>
      <w:tblGrid>
        <w:gridCol w:w="786"/>
        <w:gridCol w:w="933"/>
        <w:gridCol w:w="1617"/>
        <w:gridCol w:w="1083"/>
        <w:gridCol w:w="1100"/>
        <w:gridCol w:w="3565"/>
      </w:tblGrid>
      <w:tr>
        <w:tblPrEx>
          <w:tblCellMar>
            <w:top w:w="0" w:type="dxa"/>
            <w:left w:w="108" w:type="dxa"/>
            <w:bottom w:w="0" w:type="dxa"/>
            <w:right w:w="108" w:type="dxa"/>
          </w:tblCellMar>
        </w:tblPrEx>
        <w:trPr>
          <w:trHeight w:val="703" w:hRule="atLeast"/>
        </w:trPr>
        <w:tc>
          <w:tcPr>
            <w:tcW w:w="43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序号</w:t>
            </w:r>
          </w:p>
        </w:tc>
        <w:tc>
          <w:tcPr>
            <w:tcW w:w="513" w:type="pct"/>
            <w:tcBorders>
              <w:top w:val="single" w:color="auto" w:sz="4" w:space="0"/>
              <w:left w:val="nil"/>
              <w:bottom w:val="single" w:color="auto" w:sz="4" w:space="0"/>
              <w:right w:val="single" w:color="auto" w:sz="4" w:space="0"/>
            </w:tcBorders>
            <w:shd w:val="clear" w:color="auto" w:fill="auto"/>
            <w:noWrap/>
            <w:vAlign w:val="center"/>
          </w:tcPr>
          <w:p>
            <w:pPr>
              <w:jc w:val="center"/>
            </w:pPr>
            <w:r>
              <w:rPr>
                <w:rFonts w:hint="eastAsia"/>
              </w:rPr>
              <w:t>品名</w:t>
            </w:r>
          </w:p>
        </w:tc>
        <w:tc>
          <w:tcPr>
            <w:tcW w:w="8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eastAsiaTheme="minorEastAsia"/>
                <w:lang w:val="en-US" w:eastAsia="zh-CN"/>
              </w:rPr>
            </w:pPr>
            <w:r>
              <w:rPr>
                <w:rFonts w:hint="eastAsia"/>
                <w:lang w:val="en-US" w:eastAsia="zh-CN"/>
              </w:rPr>
              <w:t>规格</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rPr>
              <w:t>单位</w:t>
            </w:r>
          </w:p>
        </w:tc>
        <w:tc>
          <w:tcPr>
            <w:tcW w:w="605"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参考用量</w:t>
            </w:r>
          </w:p>
        </w:tc>
        <w:tc>
          <w:tcPr>
            <w:tcW w:w="1962" w:type="pct"/>
            <w:tcBorders>
              <w:top w:val="single" w:color="auto" w:sz="4" w:space="0"/>
              <w:left w:val="single" w:color="auto" w:sz="4" w:space="0"/>
              <w:bottom w:val="single" w:color="auto" w:sz="4" w:space="0"/>
              <w:right w:val="single" w:color="000000" w:sz="4" w:space="0"/>
            </w:tcBorders>
            <w:shd w:val="clear" w:color="auto" w:fill="auto"/>
            <w:vAlign w:val="center"/>
          </w:tcPr>
          <w:p>
            <w:pPr>
              <w:jc w:val="center"/>
            </w:pPr>
            <w:r>
              <w:rPr>
                <w:rFonts w:hint="eastAsia"/>
              </w:rPr>
              <w:t>备注</w:t>
            </w:r>
          </w:p>
        </w:tc>
      </w:tr>
      <w:tr>
        <w:tblPrEx>
          <w:tblCellMar>
            <w:top w:w="0" w:type="dxa"/>
            <w:left w:w="108" w:type="dxa"/>
            <w:bottom w:w="0" w:type="dxa"/>
            <w:right w:w="108" w:type="dxa"/>
          </w:tblCellMar>
        </w:tblPrEx>
        <w:trPr>
          <w:trHeight w:val="567" w:hRule="atLeast"/>
        </w:trPr>
        <w:tc>
          <w:tcPr>
            <w:tcW w:w="43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pPr>
            <w:r>
              <w:rPr>
                <w:rFonts w:hint="eastAsia"/>
              </w:rPr>
              <w:t>1</w:t>
            </w:r>
          </w:p>
        </w:tc>
        <w:tc>
          <w:tcPr>
            <w:tcW w:w="513" w:type="pct"/>
            <w:tcBorders>
              <w:top w:val="single" w:color="auto" w:sz="4" w:space="0"/>
              <w:left w:val="nil"/>
              <w:bottom w:val="single" w:color="auto" w:sz="4" w:space="0"/>
              <w:right w:val="single" w:color="auto" w:sz="4" w:space="0"/>
            </w:tcBorders>
            <w:shd w:val="clear" w:color="000000" w:fill="FFFFFF"/>
            <w:noWrap/>
            <w:vAlign w:val="center"/>
          </w:tcPr>
          <w:p>
            <w:pPr>
              <w:jc w:val="center"/>
            </w:pPr>
            <w:r>
              <w:rPr>
                <w:rFonts w:hint="eastAsia"/>
              </w:rPr>
              <w:t>鸡蛋</w:t>
            </w:r>
          </w:p>
        </w:tc>
        <w:tc>
          <w:tcPr>
            <w:tcW w:w="89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eastAsiaTheme="minorEastAsia"/>
                <w:sz w:val="22"/>
                <w:szCs w:val="22"/>
                <w:lang w:val="en-US" w:eastAsia="zh-CN"/>
              </w:rPr>
            </w:pPr>
            <w:r>
              <w:rPr>
                <w:rFonts w:hint="eastAsia"/>
                <w:kern w:val="0"/>
              </w:rPr>
              <w:t>单个</w:t>
            </w:r>
            <w:r>
              <w:rPr>
                <w:rFonts w:hint="eastAsia"/>
                <w:kern w:val="0"/>
                <w:lang w:val="en-US" w:eastAsia="zh-CN"/>
              </w:rPr>
              <w:t>克重：60g±5g</w:t>
            </w:r>
          </w:p>
        </w:tc>
        <w:tc>
          <w:tcPr>
            <w:tcW w:w="59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pPr>
            <w:r>
              <w:rPr>
                <w:rFonts w:hint="eastAsia"/>
                <w:sz w:val="22"/>
                <w:szCs w:val="22"/>
              </w:rPr>
              <w:t>公斤</w:t>
            </w:r>
          </w:p>
        </w:tc>
        <w:tc>
          <w:tcPr>
            <w:tcW w:w="60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eastAsiaTheme="minorEastAsia"/>
                <w:lang w:val="en-US" w:eastAsia="zh-CN"/>
              </w:rPr>
            </w:pPr>
            <w:r>
              <w:rPr>
                <w:rFonts w:hint="eastAsia"/>
                <w:lang w:val="en-US" w:eastAsia="zh-CN"/>
              </w:rPr>
              <w:t>15469</w:t>
            </w:r>
          </w:p>
        </w:tc>
        <w:tc>
          <w:tcPr>
            <w:tcW w:w="1962" w:type="pct"/>
            <w:tcBorders>
              <w:top w:val="nil"/>
              <w:left w:val="dotted" w:color="auto" w:sz="4" w:space="0"/>
              <w:bottom w:val="single" w:color="auto" w:sz="4" w:space="0"/>
              <w:right w:val="single" w:color="auto" w:sz="4" w:space="0"/>
            </w:tcBorders>
            <w:shd w:val="clear" w:color="000000" w:fill="FFFFFF"/>
            <w:vAlign w:val="center"/>
          </w:tcPr>
          <w:p>
            <w:pPr>
              <w:jc w:val="left"/>
              <w:rPr>
                <w:rFonts w:hint="eastAsia" w:eastAsiaTheme="minorEastAsia"/>
                <w:lang w:eastAsia="zh-CN"/>
              </w:rPr>
            </w:pPr>
            <w:r>
              <w:rPr>
                <w:rFonts w:hint="eastAsia"/>
              </w:rPr>
              <w:t>包装规格：散装鸡蛋K</w:t>
            </w:r>
            <w:r>
              <w:t>G</w:t>
            </w:r>
            <w:r>
              <w:rPr>
                <w:rFonts w:hint="eastAsia"/>
              </w:rPr>
              <w:t>；外壳干净、新鲜、无破损、已消毒</w:t>
            </w:r>
            <w:r>
              <w:rPr>
                <w:rFonts w:hint="eastAsia"/>
                <w:lang w:eastAsia="zh-CN"/>
              </w:rPr>
              <w:t>；</w:t>
            </w:r>
            <w:r>
              <w:rPr>
                <w:rFonts w:hint="eastAsia"/>
                <w:kern w:val="0"/>
              </w:rPr>
              <w:t>箱装防撞纸托包装、箱规需固定重量</w:t>
            </w:r>
            <w:r>
              <w:rPr>
                <w:rFonts w:hint="eastAsia"/>
                <w:kern w:val="0"/>
                <w:lang w:eastAsia="zh-CN"/>
              </w:rPr>
              <w:t>。</w:t>
            </w:r>
            <w:r>
              <w:rPr>
                <w:rFonts w:hint="eastAsia"/>
              </w:rPr>
              <w:br w:type="textWrapping"/>
            </w:r>
            <w:r>
              <w:rPr>
                <w:rFonts w:hint="eastAsia"/>
              </w:rPr>
              <w:t>需符合《GB77</w:t>
            </w:r>
            <w:r>
              <w:t>18</w:t>
            </w:r>
            <w:r>
              <w:rPr>
                <w:rFonts w:hint="eastAsia"/>
              </w:rPr>
              <w:t>预包装食品标签通则》标准要求</w:t>
            </w:r>
            <w:r>
              <w:rPr>
                <w:rFonts w:hint="eastAsia"/>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（二）执行标准：</w:t>
      </w:r>
      <w:r>
        <w:rPr>
          <w:rFonts w:hint="eastAsia" w:ascii="仿宋_GB2312" w:hAnsi="仿宋_GB2312" w:eastAsia="仿宋_GB2312" w:cs="仿宋_GB2312"/>
          <w:b w:val="0"/>
          <w:bCs w:val="0"/>
          <w:color w:val="auto"/>
          <w:kern w:val="0"/>
          <w:sz w:val="32"/>
          <w:szCs w:val="32"/>
          <w:highlight w:val="none"/>
          <w:lang w:val="en-US" w:eastAsia="zh-CN"/>
        </w:rPr>
        <w:t>产品符合相关国家标准、行业标准，包括《中华人民共和国食品安全法》、《中华人民共和国产品质量法》、《GB31641航空食品卫生规范》等相关国家法律规定。</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right="0" w:rightChars="0" w:firstLine="640" w:firstLineChars="200"/>
        <w:jc w:val="left"/>
        <w:textAlignment w:val="auto"/>
        <w:outlineLvl w:val="9"/>
        <w:rPr>
          <w:rFonts w:hint="default"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（三）交付时间：</w:t>
      </w:r>
      <w:r>
        <w:rPr>
          <w:rFonts w:hint="eastAsia" w:ascii="仿宋_GB2312" w:hAnsi="仿宋_GB2312" w:eastAsia="仿宋_GB2312" w:cs="仿宋_GB2312"/>
          <w:b w:val="0"/>
          <w:bCs w:val="0"/>
          <w:color w:val="auto"/>
          <w:kern w:val="0"/>
          <w:sz w:val="32"/>
          <w:szCs w:val="32"/>
          <w:highlight w:val="none"/>
          <w:lang w:val="en-US" w:eastAsia="zh-CN"/>
        </w:rPr>
        <w:t>按采购人下达的订单日期送货，平均一周送货1次。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（四）订单</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1.产品在每次供货时时需提交一份每次送货都应提供与送货产品批次一致的出厂检验报告。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4.产品包装上的标识（标签）需要符合中国法律、法规（包括但不仅限于产品生产日期、失效日期、保质期、警示标志、主要成分、厂家信息等）</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5.产品保质期：产品保质期须符合中国有关法律、法规要求，且符合采购人对产品保质期的要求；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6.外购的冷藏食品在收货时，食品温度控制不超过5度；外购的冷冻食品在收货时，应冻硬，且无解冻迹象，表面温度低于零下4度；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7.供应商安排送货车辆，如若无或者木制垫仓板，仓库有权拒收。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（七）备货量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1.供应商应严格执行协议及订单，做好日常供货保障，杜绝断货。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2.供应商不得立最小起订量。</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（八）售后服务</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供应商应承担以下但不限于以下的售后服务：产品品质的保证；服务承诺的履行；产品资料的提供；不合格产品退货处理；投诉处理；应急情形的处理。</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STHeitiSC-Medium">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B121FC"/>
    <w:rsid w:val="0439476B"/>
    <w:rsid w:val="051605D0"/>
    <w:rsid w:val="0592078C"/>
    <w:rsid w:val="07E81920"/>
    <w:rsid w:val="09DF0897"/>
    <w:rsid w:val="09E65969"/>
    <w:rsid w:val="09EE4EC2"/>
    <w:rsid w:val="0C7507AD"/>
    <w:rsid w:val="0EA84D54"/>
    <w:rsid w:val="0FC47476"/>
    <w:rsid w:val="111A69F7"/>
    <w:rsid w:val="15F235ED"/>
    <w:rsid w:val="1771620B"/>
    <w:rsid w:val="18C54A7F"/>
    <w:rsid w:val="1C642FDF"/>
    <w:rsid w:val="1CA16C6E"/>
    <w:rsid w:val="1EE02F06"/>
    <w:rsid w:val="1F33382F"/>
    <w:rsid w:val="1F9863EC"/>
    <w:rsid w:val="1FE41485"/>
    <w:rsid w:val="200C3AC3"/>
    <w:rsid w:val="213C0BFB"/>
    <w:rsid w:val="23040AFF"/>
    <w:rsid w:val="2496184F"/>
    <w:rsid w:val="24B136B0"/>
    <w:rsid w:val="25C40F57"/>
    <w:rsid w:val="27013439"/>
    <w:rsid w:val="36B003A7"/>
    <w:rsid w:val="36B829B6"/>
    <w:rsid w:val="38533E46"/>
    <w:rsid w:val="3942657F"/>
    <w:rsid w:val="3C826AF4"/>
    <w:rsid w:val="3E117259"/>
    <w:rsid w:val="3E1306DF"/>
    <w:rsid w:val="3EAC0646"/>
    <w:rsid w:val="3EE65CF2"/>
    <w:rsid w:val="407F7CE8"/>
    <w:rsid w:val="4149225A"/>
    <w:rsid w:val="42D061DF"/>
    <w:rsid w:val="430D0AC4"/>
    <w:rsid w:val="430D5565"/>
    <w:rsid w:val="43681F8F"/>
    <w:rsid w:val="457505AF"/>
    <w:rsid w:val="4579779B"/>
    <w:rsid w:val="469B45C6"/>
    <w:rsid w:val="470C7C2B"/>
    <w:rsid w:val="478C2A20"/>
    <w:rsid w:val="4812509E"/>
    <w:rsid w:val="48783B2B"/>
    <w:rsid w:val="48FB6A76"/>
    <w:rsid w:val="492364E9"/>
    <w:rsid w:val="4A6608F4"/>
    <w:rsid w:val="4B8B5463"/>
    <w:rsid w:val="4EC75654"/>
    <w:rsid w:val="4EEB44B2"/>
    <w:rsid w:val="53D20D42"/>
    <w:rsid w:val="559C360E"/>
    <w:rsid w:val="55DA622A"/>
    <w:rsid w:val="56131777"/>
    <w:rsid w:val="56F56017"/>
    <w:rsid w:val="571C44BC"/>
    <w:rsid w:val="58064885"/>
    <w:rsid w:val="58FE50EC"/>
    <w:rsid w:val="59B10404"/>
    <w:rsid w:val="5A3A3141"/>
    <w:rsid w:val="5DFD1613"/>
    <w:rsid w:val="5ED335AE"/>
    <w:rsid w:val="5FEB5546"/>
    <w:rsid w:val="63326DAF"/>
    <w:rsid w:val="64F8544A"/>
    <w:rsid w:val="655D07E9"/>
    <w:rsid w:val="67740CD2"/>
    <w:rsid w:val="68507C3E"/>
    <w:rsid w:val="68A23229"/>
    <w:rsid w:val="69FB1B10"/>
    <w:rsid w:val="6B7C2573"/>
    <w:rsid w:val="6D872ADE"/>
    <w:rsid w:val="6EF225A4"/>
    <w:rsid w:val="7002402D"/>
    <w:rsid w:val="70931388"/>
    <w:rsid w:val="710742DB"/>
    <w:rsid w:val="724B4A8D"/>
    <w:rsid w:val="74231EA2"/>
    <w:rsid w:val="75584BCE"/>
    <w:rsid w:val="75714608"/>
    <w:rsid w:val="75745AFF"/>
    <w:rsid w:val="758E0112"/>
    <w:rsid w:val="773105A5"/>
    <w:rsid w:val="77452842"/>
    <w:rsid w:val="79B32762"/>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kern w:val="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font01"/>
    <w:basedOn w:val="6"/>
    <w:qFormat/>
    <w:uiPriority w:val="0"/>
    <w:rPr>
      <w:rFonts w:hint="eastAsia" w:ascii="仿宋_GB2312" w:eastAsia="仿宋_GB2312" w:cs="仿宋_GB2312"/>
      <w:color w:val="000000"/>
      <w:sz w:val="24"/>
      <w:szCs w:val="24"/>
      <w:u w:val="none"/>
    </w:rPr>
  </w:style>
  <w:style w:type="character" w:customStyle="1" w:styleId="11">
    <w:name w:val="fontstyle01"/>
    <w:basedOn w:val="6"/>
    <w:qFormat/>
    <w:uiPriority w:val="0"/>
    <w:rPr>
      <w:rFonts w:ascii="STHeitiSC-Medium" w:hAnsi="STHeitiSC-Medium" w:eastAsia="STHeitiSC-Medium" w:cs="STHeitiSC-Medium"/>
      <w:b/>
      <w:color w:val="4A4A49"/>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26</TotalTime>
  <ScaleCrop>false</ScaleCrop>
  <LinksUpToDate>false</LinksUpToDate>
  <CharactersWithSpaces>781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陈天舒</cp:lastModifiedBy>
  <cp:lastPrinted>2025-02-17T07:28:00Z</cp:lastPrinted>
  <dcterms:modified xsi:type="dcterms:W3CDTF">2025-04-20T08:12:43Z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