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eastAsia="方正小标宋简体" w:cs="仿宋_GB2312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 w:cs="仿宋_GB2312"/>
          <w:kern w:val="0"/>
          <w:sz w:val="44"/>
          <w:szCs w:val="44"/>
          <w:lang w:eastAsia="zh-CN"/>
        </w:rPr>
        <w:t>上海中航航空食品有限公司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eastAsia="方正小标宋简体" w:cs="仿宋_GB2312"/>
          <w:kern w:val="0"/>
          <w:sz w:val="44"/>
          <w:szCs w:val="44"/>
        </w:rPr>
      </w:pPr>
      <w:r>
        <w:rPr>
          <w:rFonts w:hint="eastAsia" w:ascii="方正小标宋简体" w:eastAsia="方正小标宋简体" w:cs="仿宋_GB2312"/>
          <w:kern w:val="0"/>
          <w:sz w:val="44"/>
          <w:szCs w:val="44"/>
        </w:rPr>
        <w:t>征地补偿工派遣职工团体人身意外险</w:t>
      </w:r>
      <w:r>
        <w:rPr>
          <w:rFonts w:hint="eastAsia" w:ascii="方正小标宋简体" w:eastAsia="方正小标宋简体" w:cs="仿宋_GB2312"/>
          <w:kern w:val="0"/>
          <w:sz w:val="44"/>
          <w:szCs w:val="44"/>
          <w:lang w:val="en-US" w:eastAsia="zh-CN"/>
        </w:rPr>
        <w:t>项目</w:t>
      </w:r>
      <w:r>
        <w:rPr>
          <w:rFonts w:ascii="方正小标宋简体" w:eastAsia="方正小标宋简体" w:cs="仿宋_GB2312"/>
          <w:kern w:val="0"/>
          <w:sz w:val="44"/>
          <w:szCs w:val="44"/>
        </w:rPr>
        <w:t>采购</w:t>
      </w:r>
      <w:r>
        <w:rPr>
          <w:rFonts w:hint="eastAsia" w:ascii="方正小标宋简体" w:eastAsia="方正小标宋简体" w:cs="仿宋_GB2312"/>
          <w:kern w:val="0"/>
          <w:sz w:val="44"/>
          <w:szCs w:val="44"/>
        </w:rPr>
        <w:t>需求</w:t>
      </w:r>
    </w:p>
    <w:p>
      <w:pPr>
        <w:jc w:val="center"/>
        <w:rPr>
          <w:rFonts w:hint="eastAsia" w:ascii="方正小标宋简体" w:eastAsia="方正小标宋简体" w:cs="仿宋_GB2312"/>
          <w:kern w:val="0"/>
          <w:sz w:val="36"/>
          <w:szCs w:val="36"/>
        </w:rPr>
      </w:pPr>
    </w:p>
    <w:p>
      <w:pPr>
        <w:spacing w:line="336" w:lineRule="auto"/>
        <w:ind w:firstLine="640" w:firstLineChars="200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根据中翼航空投资有限公司标准采购管理规程和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上海机场中航佳美航空食品有限公司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采购管理规定，该项目已具备采购条件。采购申请具体如下：</w:t>
      </w:r>
    </w:p>
    <w:p>
      <w:pPr>
        <w:spacing w:line="336" w:lineRule="auto"/>
        <w:ind w:firstLine="640" w:firstLineChars="200"/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一、项目概况</w:t>
      </w:r>
    </w:p>
    <w:p>
      <w:pPr>
        <w:spacing w:line="336" w:lineRule="auto"/>
        <w:ind w:firstLine="640" w:firstLineChars="200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上海中航航空食品有限公司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征地补偿工派遣职工团体人身意外险项目</w:t>
      </w:r>
    </w:p>
    <w:p>
      <w:pPr>
        <w:spacing w:line="336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.项目背景：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总体安排，在我司工作的上海南惠人力资源有限公司（以下简称“南惠人力”）劳务派遣制职工具有征地补偿人员身份的9人，这9人由祝桥镇政府负责社会保险缴纳，但自2019年起，由于身份特殊，根据浦东新区人社局意见，发生工伤时，社会保障机构认定其工伤后，无法享受医保报销、一次性伤残补助金、就业补助金以及医疗补助金等相关待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36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为降低企业用工风险，保障职工权益，自2019年起，公司为劳务派遣制职工征地补偿人员身份派遣制职工投保意外险。2025年保单将于2025年7月19日到期终止，拟建议履行采购流程后继续为上述人员投保上述险种。</w:t>
      </w:r>
    </w:p>
    <w:p>
      <w:pPr>
        <w:spacing w:line="336" w:lineRule="auto"/>
        <w:ind w:firstLine="640" w:firstLineChars="200"/>
        <w:rPr>
          <w:rFonts w:hint="default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3.服务期限：自保单签发之日起，充足服务到位。</w:t>
      </w:r>
    </w:p>
    <w:p>
      <w:pPr>
        <w:spacing w:line="336" w:lineRule="auto"/>
        <w:ind w:firstLine="640" w:firstLineChars="200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.付款方式：</w:t>
      </w: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  <w:t>按照供应商提供的“付费通知书”金额，将保险费划入保险公司指定帐户，再出具保单及发票。</w:t>
      </w:r>
    </w:p>
    <w:p>
      <w:pPr>
        <w:spacing w:line="336" w:lineRule="auto"/>
        <w:ind w:firstLine="640" w:firstLineChars="200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.项目地点：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浦东新区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领航路100号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pacing w:val="-7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二、采购计划批复情况</w:t>
      </w:r>
      <w:r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spacing w:val="-7"/>
          <w:kern w:val="2"/>
          <w:sz w:val="32"/>
          <w:szCs w:val="32"/>
          <w:lang w:val="en-US" w:eastAsia="zh-CN" w:bidi="ar-SA"/>
        </w:rPr>
        <w:t>本项目已经于2024年12月上报中翼航空投资有限公司的《上海航食关于2025年采购计划新增的请示》、已取得的中翼航空投资有限公司对上海航食《关于2025年采购计划新增的请示》的批复。</w:t>
      </w:r>
      <w:bookmarkStart w:id="0" w:name="_GoBack"/>
      <w:bookmarkEnd w:id="0"/>
    </w:p>
    <w:p>
      <w:pPr>
        <w:spacing w:line="336" w:lineRule="auto"/>
        <w:ind w:firstLine="640" w:firstLineChars="200"/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三、采购需求</w:t>
      </w:r>
    </w:p>
    <w:p>
      <w:pPr>
        <w:spacing w:line="336" w:lineRule="auto"/>
        <w:ind w:firstLine="640" w:firstLineChars="200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服务内容和要求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36" w:lineRule="auto"/>
        <w:ind w:right="0" w:rightChars="0" w:firstLine="612" w:firstLineChars="200"/>
        <w:jc w:val="both"/>
        <w:textAlignment w:val="auto"/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确定一家中选供应商，为采购单位提供的劳务派遣人员、派遣征地人员分别购买保险服务。</w:t>
      </w:r>
    </w:p>
    <w:tbl>
      <w:tblPr>
        <w:tblStyle w:val="6"/>
        <w:tblW w:w="8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4432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36" w:lineRule="auto"/>
              <w:ind w:right="236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保险责任项目</w:t>
            </w:r>
          </w:p>
        </w:tc>
        <w:tc>
          <w:tcPr>
            <w:tcW w:w="443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36" w:lineRule="auto"/>
              <w:ind w:right="236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保险责任简要描述</w:t>
            </w:r>
          </w:p>
        </w:tc>
        <w:tc>
          <w:tcPr>
            <w:tcW w:w="1854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36" w:lineRule="auto"/>
              <w:ind w:left="120" w:leftChars="0" w:right="23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保险金额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50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36" w:lineRule="auto"/>
              <w:ind w:right="236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意外伤残保障</w:t>
            </w:r>
          </w:p>
        </w:tc>
        <w:tc>
          <w:tcPr>
            <w:tcW w:w="443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36" w:lineRule="auto"/>
              <w:ind w:right="236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意外伤害身故，伤残保险金</w:t>
            </w:r>
          </w:p>
        </w:tc>
        <w:tc>
          <w:tcPr>
            <w:tcW w:w="185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36" w:lineRule="auto"/>
              <w:ind w:right="236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50万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50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36" w:lineRule="auto"/>
              <w:ind w:right="236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意外身故保障</w:t>
            </w:r>
          </w:p>
        </w:tc>
        <w:tc>
          <w:tcPr>
            <w:tcW w:w="4432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36" w:lineRule="auto"/>
              <w:ind w:right="236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36" w:lineRule="auto"/>
              <w:ind w:left="120" w:leftChars="0" w:right="23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0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36" w:lineRule="auto"/>
              <w:ind w:right="236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意外医疗保障</w:t>
            </w:r>
          </w:p>
        </w:tc>
        <w:tc>
          <w:tcPr>
            <w:tcW w:w="44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36" w:lineRule="auto"/>
              <w:ind w:right="236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无免赔额，100%赔付</w:t>
            </w:r>
          </w:p>
        </w:tc>
        <w:tc>
          <w:tcPr>
            <w:tcW w:w="18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36" w:lineRule="auto"/>
              <w:ind w:left="120" w:leftChars="0" w:right="23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8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36" w:lineRule="auto"/>
              <w:ind w:right="236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意外住院保障</w:t>
            </w:r>
          </w:p>
        </w:tc>
        <w:tc>
          <w:tcPr>
            <w:tcW w:w="443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36" w:lineRule="auto"/>
              <w:ind w:right="236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无免赔额，最长180天/年</w:t>
            </w:r>
          </w:p>
        </w:tc>
        <w:tc>
          <w:tcPr>
            <w:tcW w:w="18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36" w:lineRule="auto"/>
              <w:ind w:left="120" w:leftChars="0" w:right="236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  <w:vertAlign w:val="baseline"/>
                <w:lang w:val="en-US" w:eastAsia="zh-CN"/>
              </w:rPr>
              <w:t>100元/天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36" w:lineRule="auto"/>
        <w:ind w:firstLine="612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中选供应商必须按合同约定时间、经采购单位核定的标准、及时、足额办理完劳务派遣人员保险、理赔等相关业务手续。</w:t>
      </w:r>
    </w:p>
    <w:p>
      <w:pPr>
        <w:spacing w:line="336" w:lineRule="auto"/>
        <w:ind w:firstLine="640" w:firstLineChars="200"/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四、供应商资质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36" w:lineRule="auto"/>
        <w:ind w:firstLine="632" w:firstLineChars="200"/>
        <w:textAlignment w:val="auto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拥有中国银行保险监督管理委员会颁发的《经营保险业务许可证》。</w:t>
      </w:r>
    </w:p>
    <w:p>
      <w:pPr>
        <w:spacing w:line="336" w:lineRule="auto"/>
        <w:ind w:firstLine="640" w:firstLineChars="200"/>
        <w:jc w:val="right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人力资源部</w:t>
      </w:r>
    </w:p>
    <w:p>
      <w:pPr>
        <w:spacing w:line="336" w:lineRule="auto"/>
        <w:ind w:firstLine="640" w:firstLineChars="200"/>
        <w:jc w:val="right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月3日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4941659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3984556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3MzIzZjRmZWU2ZmE5MzFiNGI5ZDM5OTRjODNkNWUifQ=="/>
  </w:docVars>
  <w:rsids>
    <w:rsidRoot w:val="007A72FA"/>
    <w:rsid w:val="000201D4"/>
    <w:rsid w:val="000550E3"/>
    <w:rsid w:val="00061DD7"/>
    <w:rsid w:val="00073587"/>
    <w:rsid w:val="000849F7"/>
    <w:rsid w:val="00084E14"/>
    <w:rsid w:val="000C024C"/>
    <w:rsid w:val="000C170A"/>
    <w:rsid w:val="000E2B02"/>
    <w:rsid w:val="0012196A"/>
    <w:rsid w:val="0013221E"/>
    <w:rsid w:val="001348E1"/>
    <w:rsid w:val="00171287"/>
    <w:rsid w:val="00180EAA"/>
    <w:rsid w:val="001A0B8B"/>
    <w:rsid w:val="001C5795"/>
    <w:rsid w:val="001D0FAB"/>
    <w:rsid w:val="00201FAD"/>
    <w:rsid w:val="00214170"/>
    <w:rsid w:val="00223D20"/>
    <w:rsid w:val="00226EAE"/>
    <w:rsid w:val="002327A9"/>
    <w:rsid w:val="002B2046"/>
    <w:rsid w:val="002E107B"/>
    <w:rsid w:val="002F684F"/>
    <w:rsid w:val="00325204"/>
    <w:rsid w:val="00334C61"/>
    <w:rsid w:val="00362239"/>
    <w:rsid w:val="00371A25"/>
    <w:rsid w:val="003D05AB"/>
    <w:rsid w:val="003D1E41"/>
    <w:rsid w:val="003E1676"/>
    <w:rsid w:val="003F31BE"/>
    <w:rsid w:val="00400996"/>
    <w:rsid w:val="00406426"/>
    <w:rsid w:val="00406574"/>
    <w:rsid w:val="00407C9D"/>
    <w:rsid w:val="00407CA1"/>
    <w:rsid w:val="00424708"/>
    <w:rsid w:val="004255CD"/>
    <w:rsid w:val="00436531"/>
    <w:rsid w:val="004614B0"/>
    <w:rsid w:val="004A5B5D"/>
    <w:rsid w:val="004C60BF"/>
    <w:rsid w:val="004C6A98"/>
    <w:rsid w:val="004F3DE6"/>
    <w:rsid w:val="004F4E64"/>
    <w:rsid w:val="00514B39"/>
    <w:rsid w:val="00551F28"/>
    <w:rsid w:val="0056617B"/>
    <w:rsid w:val="005709EB"/>
    <w:rsid w:val="00594C13"/>
    <w:rsid w:val="005A1F26"/>
    <w:rsid w:val="005A6ACF"/>
    <w:rsid w:val="005B08D1"/>
    <w:rsid w:val="005C3C14"/>
    <w:rsid w:val="006030BF"/>
    <w:rsid w:val="0062742F"/>
    <w:rsid w:val="00670DC3"/>
    <w:rsid w:val="006729EF"/>
    <w:rsid w:val="006913D3"/>
    <w:rsid w:val="00692F96"/>
    <w:rsid w:val="006C0293"/>
    <w:rsid w:val="006E092D"/>
    <w:rsid w:val="0070497D"/>
    <w:rsid w:val="007106B6"/>
    <w:rsid w:val="00724476"/>
    <w:rsid w:val="00731B46"/>
    <w:rsid w:val="00736CD6"/>
    <w:rsid w:val="00747086"/>
    <w:rsid w:val="00762A19"/>
    <w:rsid w:val="00794D8C"/>
    <w:rsid w:val="007A72FA"/>
    <w:rsid w:val="007B0156"/>
    <w:rsid w:val="007C11D9"/>
    <w:rsid w:val="00804D24"/>
    <w:rsid w:val="008466F5"/>
    <w:rsid w:val="0085224A"/>
    <w:rsid w:val="008A28DF"/>
    <w:rsid w:val="008A7E4C"/>
    <w:rsid w:val="008C17EF"/>
    <w:rsid w:val="008D37C2"/>
    <w:rsid w:val="008F001A"/>
    <w:rsid w:val="0090411D"/>
    <w:rsid w:val="00971051"/>
    <w:rsid w:val="00981A68"/>
    <w:rsid w:val="00983571"/>
    <w:rsid w:val="009A49D2"/>
    <w:rsid w:val="009A6AC9"/>
    <w:rsid w:val="009B0260"/>
    <w:rsid w:val="009B1E8C"/>
    <w:rsid w:val="009B317D"/>
    <w:rsid w:val="009C7E49"/>
    <w:rsid w:val="00A33B74"/>
    <w:rsid w:val="00A442D9"/>
    <w:rsid w:val="00A46DE2"/>
    <w:rsid w:val="00A47B16"/>
    <w:rsid w:val="00A716BB"/>
    <w:rsid w:val="00A758C3"/>
    <w:rsid w:val="00A80E6C"/>
    <w:rsid w:val="00A906A7"/>
    <w:rsid w:val="00A941E5"/>
    <w:rsid w:val="00A96368"/>
    <w:rsid w:val="00AB3BE8"/>
    <w:rsid w:val="00AE2567"/>
    <w:rsid w:val="00AF7503"/>
    <w:rsid w:val="00B40467"/>
    <w:rsid w:val="00B53727"/>
    <w:rsid w:val="00B60E5A"/>
    <w:rsid w:val="00B72329"/>
    <w:rsid w:val="00B747B2"/>
    <w:rsid w:val="00B863E1"/>
    <w:rsid w:val="00BA1999"/>
    <w:rsid w:val="00BB34D6"/>
    <w:rsid w:val="00BF7988"/>
    <w:rsid w:val="00C104ED"/>
    <w:rsid w:val="00C21429"/>
    <w:rsid w:val="00C6029A"/>
    <w:rsid w:val="00CA3B76"/>
    <w:rsid w:val="00CC1EA5"/>
    <w:rsid w:val="00CC4E45"/>
    <w:rsid w:val="00CD6B6B"/>
    <w:rsid w:val="00CE6F2E"/>
    <w:rsid w:val="00CF1B26"/>
    <w:rsid w:val="00D07988"/>
    <w:rsid w:val="00D2321C"/>
    <w:rsid w:val="00D3022D"/>
    <w:rsid w:val="00D477D1"/>
    <w:rsid w:val="00D75620"/>
    <w:rsid w:val="00DE258D"/>
    <w:rsid w:val="00E0025A"/>
    <w:rsid w:val="00E17ADC"/>
    <w:rsid w:val="00E2707A"/>
    <w:rsid w:val="00E5322E"/>
    <w:rsid w:val="00E93EB0"/>
    <w:rsid w:val="00E96F5B"/>
    <w:rsid w:val="00EC4A37"/>
    <w:rsid w:val="00EC621F"/>
    <w:rsid w:val="00ED5206"/>
    <w:rsid w:val="00F558C8"/>
    <w:rsid w:val="00F55DCB"/>
    <w:rsid w:val="00F61A1A"/>
    <w:rsid w:val="00F9084B"/>
    <w:rsid w:val="038D13F5"/>
    <w:rsid w:val="090207AF"/>
    <w:rsid w:val="094C017C"/>
    <w:rsid w:val="0F415EE5"/>
    <w:rsid w:val="12657DEB"/>
    <w:rsid w:val="14E55253"/>
    <w:rsid w:val="168B59E5"/>
    <w:rsid w:val="1BE35DC1"/>
    <w:rsid w:val="2258724F"/>
    <w:rsid w:val="282A5F03"/>
    <w:rsid w:val="3117373D"/>
    <w:rsid w:val="369160B0"/>
    <w:rsid w:val="37B0491D"/>
    <w:rsid w:val="3F9C31D1"/>
    <w:rsid w:val="4A2A0AF8"/>
    <w:rsid w:val="4A745A9F"/>
    <w:rsid w:val="4FDE438F"/>
    <w:rsid w:val="50C94DEE"/>
    <w:rsid w:val="55A33EB3"/>
    <w:rsid w:val="5DFD1613"/>
    <w:rsid w:val="63326DAF"/>
    <w:rsid w:val="74535EB1"/>
    <w:rsid w:val="7C7A186B"/>
    <w:rsid w:val="7F531DC3"/>
    <w:rsid w:val="7FC4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82"/>
      <w:ind w:left="120"/>
    </w:pPr>
    <w:rPr>
      <w:rFonts w:ascii="微软雅黑" w:hAnsi="微软雅黑" w:eastAsia="微软雅黑" w:cs="微软雅黑"/>
      <w:sz w:val="24"/>
      <w:szCs w:val="24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348</Words>
  <Characters>356</Characters>
  <Lines>20</Lines>
  <Paragraphs>20</Paragraphs>
  <TotalTime>0</TotalTime>
  <ScaleCrop>false</ScaleCrop>
  <LinksUpToDate>false</LinksUpToDate>
  <CharactersWithSpaces>684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2023-11-16T02:17:00Z</dcterms:created>
  <dc:creator>Wang, Frankie</dc:creator>
  <cp:lastModifiedBy>陈天舒</cp:lastModifiedBy>
  <cp:lastPrinted>2019-09-09T06:21:00Z</cp:lastPrinted>
  <dcterms:modified xsi:type="dcterms:W3CDTF">2025-04-18T05:12:59Z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4D4287F2463D40AB9D9C88C3E4E31AA4</vt:lpwstr>
  </property>
</Properties>
</file>