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仿宋_GB2312"/>
          <w:kern w:val="0"/>
          <w:sz w:val="44"/>
          <w:szCs w:val="44"/>
          <w:lang w:eastAsia="zh-CN"/>
        </w:rPr>
      </w:pPr>
      <w:r>
        <w:rPr>
          <w:rFonts w:hint="eastAsia" w:ascii="方正小标宋简体" w:eastAsia="方正小标宋简体" w:cs="仿宋_GB2312"/>
          <w:kern w:val="0"/>
          <w:sz w:val="44"/>
          <w:szCs w:val="44"/>
          <w:lang w:eastAsia="zh-CN"/>
        </w:rPr>
        <w:t>上海中航航空食品有限公司</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cs="仿宋_GB2312"/>
          <w:kern w:val="0"/>
          <w:sz w:val="44"/>
          <w:szCs w:val="44"/>
        </w:rPr>
      </w:pPr>
      <w:r>
        <w:rPr>
          <w:rFonts w:hint="eastAsia" w:ascii="方正小标宋简体" w:hAnsi="方正小标宋简体" w:eastAsia="方正小标宋简体" w:cs="方正小标宋简体"/>
          <w:b w:val="0"/>
          <w:bCs w:val="0"/>
          <w:sz w:val="44"/>
          <w:szCs w:val="44"/>
          <w:lang w:val="en-US" w:eastAsia="zh-CN"/>
        </w:rPr>
        <w:t>员工综合福利保险项目</w:t>
      </w:r>
      <w:r>
        <w:rPr>
          <w:rFonts w:hint="eastAsia" w:ascii="方正小标宋简体" w:eastAsia="方正小标宋简体" w:cs="仿宋_GB2312"/>
          <w:kern w:val="0"/>
          <w:sz w:val="44"/>
          <w:szCs w:val="44"/>
        </w:rPr>
        <w:t>的</w:t>
      </w:r>
      <w:r>
        <w:rPr>
          <w:rFonts w:ascii="方正小标宋简体" w:eastAsia="方正小标宋简体" w:cs="仿宋_GB2312"/>
          <w:kern w:val="0"/>
          <w:sz w:val="44"/>
          <w:szCs w:val="44"/>
        </w:rPr>
        <w:t>采购</w:t>
      </w:r>
      <w:r>
        <w:rPr>
          <w:rFonts w:hint="eastAsia" w:ascii="方正小标宋简体" w:eastAsia="方正小标宋简体" w:cs="仿宋_GB2312"/>
          <w:kern w:val="0"/>
          <w:sz w:val="44"/>
          <w:szCs w:val="44"/>
        </w:rPr>
        <w:t>需求</w:t>
      </w:r>
    </w:p>
    <w:p>
      <w:pPr>
        <w:jc w:val="center"/>
        <w:rPr>
          <w:rFonts w:hint="eastAsia" w:ascii="方正小标宋简体" w:eastAsia="方正小标宋简体" w:cs="仿宋_GB2312"/>
          <w:kern w:val="0"/>
          <w:sz w:val="36"/>
          <w:szCs w:val="36"/>
        </w:rPr>
      </w:pP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上海机场中航佳美航空食品有限公司</w:t>
      </w:r>
      <w:r>
        <w:rPr>
          <w:rFonts w:hint="eastAsia" w:ascii="仿宋_GB2312" w:hAnsi="微软雅黑" w:eastAsia="仿宋_GB2312" w:cs="微软雅黑"/>
          <w:color w:val="000000" w:themeColor="text1"/>
          <w:kern w:val="0"/>
          <w:sz w:val="32"/>
          <w:szCs w:val="32"/>
          <w14:textFill>
            <w14:solidFill>
              <w14:schemeClr w14:val="tx1"/>
            </w14:solidFill>
          </w14:textFill>
        </w:rPr>
        <w:t>采购管理规定，该项目已具备采购条件。采购申请具体如下：</w:t>
      </w:r>
    </w:p>
    <w:p>
      <w:pPr>
        <w:spacing w:line="336" w:lineRule="auto"/>
        <w:ind w:firstLine="640" w:firstLineChars="200"/>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一、项目概况</w:t>
      </w:r>
      <w:bookmarkStart w:id="0" w:name="_GoBack"/>
      <w:bookmarkEnd w:id="0"/>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微软雅黑"/>
          <w:color w:val="000000" w:themeColor="text1"/>
          <w:kern w:val="0"/>
          <w:sz w:val="32"/>
          <w:szCs w:val="32"/>
          <w14:textFill>
            <w14:solidFill>
              <w14:schemeClr w14:val="tx1"/>
            </w14:solidFill>
          </w14:textFill>
        </w:rPr>
        <w:t>项目名称：</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上海中航航空食品有限公司</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员工</w:t>
      </w:r>
      <w:r>
        <w:rPr>
          <w:rFonts w:hint="eastAsia" w:ascii="仿宋_GB2312" w:hAnsi="仿宋_GB2312" w:eastAsia="仿宋_GB2312" w:cs="仿宋_GB2312"/>
          <w:b w:val="0"/>
          <w:bCs/>
          <w:sz w:val="32"/>
          <w:szCs w:val="32"/>
          <w:lang w:eastAsia="zh-CN"/>
        </w:rPr>
        <w:t>综合福利</w:t>
      </w:r>
      <w:r>
        <w:rPr>
          <w:rFonts w:hint="eastAsia" w:ascii="仿宋_GB2312" w:hAnsi="仿宋_GB2312" w:eastAsia="仿宋_GB2312" w:cs="仿宋_GB2312"/>
          <w:b w:val="0"/>
          <w:bCs/>
          <w:sz w:val="32"/>
          <w:szCs w:val="32"/>
          <w:lang w:val="en-US" w:eastAsia="zh-CN"/>
        </w:rPr>
        <w:t>保险</w:t>
      </w:r>
      <w:r>
        <w:rPr>
          <w:rFonts w:hint="eastAsia" w:ascii="仿宋_GB2312" w:hAnsi="仿宋_GB2312" w:eastAsia="仿宋_GB2312" w:cs="仿宋_GB2312"/>
          <w:b w:val="0"/>
          <w:bCs/>
          <w:sz w:val="32"/>
          <w:szCs w:val="32"/>
        </w:rPr>
        <w:t>项目</w:t>
      </w:r>
    </w:p>
    <w:p>
      <w:pPr>
        <w:spacing w:line="336"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微软雅黑"/>
          <w:color w:val="000000" w:themeColor="text1"/>
          <w:kern w:val="0"/>
          <w:sz w:val="32"/>
          <w:szCs w:val="32"/>
          <w14:textFill>
            <w14:solidFill>
              <w14:schemeClr w14:val="tx1"/>
            </w14:solidFill>
          </w14:textFill>
        </w:rPr>
        <w:t>.项目背景：</w:t>
      </w:r>
      <w:r>
        <w:rPr>
          <w:rFonts w:hint="eastAsia" w:ascii="仿宋_GB2312" w:hAnsi="仿宋_GB2312" w:eastAsia="仿宋_GB2312" w:cs="仿宋_GB2312"/>
          <w:b w:val="0"/>
          <w:bCs/>
          <w:kern w:val="2"/>
          <w:sz w:val="32"/>
          <w:szCs w:val="32"/>
          <w:lang w:val="en-US" w:eastAsia="zh-CN" w:bidi="ar-SA"/>
        </w:rPr>
        <w:t>为降低企业用工风险，保障职工权益，公司为全体职工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含派遣职工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kern w:val="2"/>
          <w:sz w:val="32"/>
          <w:szCs w:val="32"/>
          <w:lang w:val="en-US" w:eastAsia="zh-CN" w:bidi="ar-SA"/>
        </w:rPr>
        <w:t>投保</w:t>
      </w:r>
      <w:r>
        <w:rPr>
          <w:rFonts w:hint="eastAsia" w:ascii="仿宋_GB2312" w:hAnsi="仿宋_GB2312" w:eastAsia="仿宋_GB2312" w:cs="仿宋_GB2312"/>
          <w:b w:val="0"/>
          <w:bCs/>
          <w:sz w:val="32"/>
          <w:szCs w:val="32"/>
          <w:lang w:eastAsia="zh-CN"/>
        </w:rPr>
        <w:t>综合福利</w:t>
      </w:r>
      <w:r>
        <w:rPr>
          <w:rFonts w:hint="eastAsia" w:ascii="仿宋_GB2312" w:hAnsi="仿宋_GB2312" w:eastAsia="仿宋_GB2312" w:cs="仿宋_GB2312"/>
          <w:b w:val="0"/>
          <w:bCs/>
          <w:sz w:val="32"/>
          <w:szCs w:val="32"/>
          <w:lang w:val="en-US" w:eastAsia="zh-CN"/>
        </w:rPr>
        <w:t>保险</w:t>
      </w:r>
      <w:r>
        <w:rPr>
          <w:rFonts w:hint="eastAsia" w:ascii="仿宋_GB2312" w:hAnsi="仿宋_GB2312" w:eastAsia="仿宋_GB2312" w:cs="仿宋_GB2312"/>
          <w:b w:val="0"/>
          <w:bCs/>
          <w:kern w:val="2"/>
          <w:sz w:val="32"/>
          <w:szCs w:val="32"/>
          <w:lang w:val="en-US" w:eastAsia="zh-CN" w:bidi="ar-SA"/>
        </w:rPr>
        <w:t>项目。原保单将于2025年9月28日到期终止，</w:t>
      </w:r>
      <w:r>
        <w:rPr>
          <w:rFonts w:hint="eastAsia" w:ascii="仿宋_GB2312" w:hAnsi="仿宋_GB2312" w:eastAsia="仿宋_GB2312" w:cs="仿宋_GB2312"/>
          <w:kern w:val="2"/>
          <w:sz w:val="32"/>
          <w:szCs w:val="32"/>
          <w:lang w:val="en-US" w:eastAsia="zh-CN" w:bidi="ar-SA"/>
        </w:rPr>
        <w:t>履行采购流程后继续为上述人员投保上述险种。</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3.服务期限：自保单签发之日起，充足服务到位。</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仿宋_GB2312" w:eastAsia="仿宋_GB2312" w:cs="仿宋_GB2312"/>
          <w:spacing w:val="-2"/>
          <w:kern w:val="2"/>
          <w:sz w:val="32"/>
          <w:szCs w:val="32"/>
          <w:lang w:val="en-US" w:eastAsia="zh-CN" w:bidi="ar-SA"/>
        </w:rPr>
        <w:t>按照供应商提供的“付费通知书”金额，将保险费划入保险公司指定帐户，再出具保单及发票。</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浦东新区</w:t>
      </w:r>
      <w:r>
        <w:rPr>
          <w:rFonts w:hint="eastAsia" w:ascii="仿宋_GB2312" w:hAnsi="微软雅黑" w:eastAsia="仿宋_GB2312" w:cs="微软雅黑"/>
          <w:color w:val="000000" w:themeColor="text1"/>
          <w:kern w:val="0"/>
          <w:sz w:val="32"/>
          <w:szCs w:val="32"/>
          <w14:textFill>
            <w14:solidFill>
              <w14:schemeClr w14:val="tx1"/>
            </w14:solidFill>
          </w14:textFill>
        </w:rPr>
        <w:t>领航路100号</w:t>
      </w:r>
    </w:p>
    <w:p>
      <w:pPr>
        <w:keepNext w:val="0"/>
        <w:keepLines w:val="0"/>
        <w:pageBreakBefore w:val="0"/>
        <w:widowControl w:val="0"/>
        <w:kinsoku/>
        <w:wordWrap/>
        <w:overflowPunct/>
        <w:topLinePunct w:val="0"/>
        <w:autoSpaceDE/>
        <w:autoSpaceDN/>
        <w:bidi w:val="0"/>
        <w:adjustRightInd w:val="0"/>
        <w:snapToGrid/>
        <w:spacing w:line="336" w:lineRule="auto"/>
        <w:ind w:left="0" w:leftChars="0" w:firstLine="640" w:firstLineChars="200"/>
        <w:textAlignment w:val="auto"/>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二、采购计划批复情况</w:t>
      </w:r>
      <w:r>
        <w:rPr>
          <w:rFonts w:hint="eastAsia" w:ascii="黑体" w:hAnsi="黑体" w:eastAsia="黑体" w:cs="微软雅黑"/>
          <w:color w:val="000000" w:themeColor="text1"/>
          <w:kern w:val="0"/>
          <w:sz w:val="32"/>
          <w:szCs w:val="32"/>
          <w14:textFill>
            <w14:solidFill>
              <w14:schemeClr w14:val="tx1"/>
            </w14:solidFill>
          </w14:textFill>
        </w:rPr>
        <w:br w:type="textWrapping"/>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本项目已经于2024年12月上报中翼航空投资有限公司的《上海航食关于2025年采购计划新增的请示》、已取得的中翼航空投资有限公司对上海航食《关于2025年采购计划新增的请示》的批复。</w:t>
      </w:r>
    </w:p>
    <w:p>
      <w:pPr>
        <w:spacing w:line="336" w:lineRule="auto"/>
        <w:ind w:firstLine="640" w:firstLineChars="200"/>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三、采购需求</w:t>
      </w:r>
    </w:p>
    <w:tbl>
      <w:tblPr>
        <w:tblStyle w:val="5"/>
        <w:tblpPr w:leftFromText="180" w:rightFromText="180" w:vertAnchor="text" w:horzAnchor="page" w:tblpXSpec="center" w:tblpY="637"/>
        <w:tblOverlap w:val="never"/>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621"/>
        <w:gridCol w:w="1917"/>
        <w:gridCol w:w="150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73"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职位</w:t>
            </w:r>
          </w:p>
        </w:tc>
        <w:tc>
          <w:tcPr>
            <w:tcW w:w="2621"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经理级以上员工</w:t>
            </w:r>
          </w:p>
        </w:tc>
        <w:tc>
          <w:tcPr>
            <w:tcW w:w="1917" w:type="dxa"/>
            <w:noWrap w:val="0"/>
            <w:vAlign w:val="center"/>
          </w:tcPr>
          <w:p>
            <w:pPr>
              <w:keepNext w:val="0"/>
              <w:keepLines w:val="0"/>
              <w:pageBreakBefore w:val="0"/>
              <w:widowControl w:val="0"/>
              <w:kinsoku/>
              <w:wordWrap/>
              <w:overflowPunct/>
              <w:topLinePunct w:val="0"/>
              <w:bidi w:val="0"/>
              <w:adjustRightInd/>
              <w:snapToGrid w:val="0"/>
              <w:spacing w:line="336" w:lineRule="auto"/>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主管级员工</w:t>
            </w:r>
          </w:p>
        </w:tc>
        <w:tc>
          <w:tcPr>
            <w:tcW w:w="1500"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普通员工</w:t>
            </w:r>
          </w:p>
        </w:tc>
        <w:tc>
          <w:tcPr>
            <w:tcW w:w="1567"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员工</w:t>
            </w:r>
            <w:r>
              <w:rPr>
                <w:rFonts w:hint="eastAsia" w:ascii="仿宋_GB2312" w:hAnsi="仿宋_GB2312" w:eastAsia="仿宋_GB2312" w:cs="仿宋_GB2312"/>
                <w:b w:val="0"/>
                <w:bCs w:val="0"/>
                <w:sz w:val="32"/>
                <w:szCs w:val="32"/>
                <w:lang w:val="en-US" w:eastAsia="zh-CN"/>
              </w:rPr>
              <w:t>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3"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人数</w:t>
            </w:r>
          </w:p>
        </w:tc>
        <w:tc>
          <w:tcPr>
            <w:tcW w:w="2621"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w:t>
            </w:r>
          </w:p>
        </w:tc>
        <w:tc>
          <w:tcPr>
            <w:tcW w:w="1917"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68</w:t>
            </w:r>
          </w:p>
        </w:tc>
        <w:tc>
          <w:tcPr>
            <w:tcW w:w="1500"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401</w:t>
            </w:r>
          </w:p>
        </w:tc>
        <w:tc>
          <w:tcPr>
            <w:tcW w:w="1567" w:type="dxa"/>
            <w:noWrap w:val="0"/>
            <w:vAlign w:val="center"/>
          </w:tcPr>
          <w:p>
            <w:pPr>
              <w:keepNext w:val="0"/>
              <w:keepLines w:val="0"/>
              <w:pageBreakBefore w:val="0"/>
              <w:widowControl w:val="0"/>
              <w:kinsoku/>
              <w:wordWrap/>
              <w:overflowPunct/>
              <w:topLinePunct w:val="0"/>
              <w:bidi w:val="0"/>
              <w:adjustRightInd/>
              <w:snapToGrid w:val="0"/>
              <w:spacing w:line="336"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w:t>
            </w:r>
          </w:p>
        </w:tc>
      </w:tr>
    </w:tbl>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pacing w:val="-7"/>
          <w:sz w:val="32"/>
          <w:szCs w:val="32"/>
          <w:lang w:val="en-US" w:eastAsia="zh-CN"/>
        </w:rPr>
      </w:pPr>
      <w:r>
        <w:rPr>
          <w:rFonts w:hint="eastAsia" w:ascii="楷体" w:hAnsi="楷体" w:eastAsia="楷体" w:cs="楷体"/>
          <w:bCs/>
          <w:color w:val="auto"/>
          <w:kern w:val="0"/>
          <w:sz w:val="32"/>
          <w:szCs w:val="32"/>
          <w:lang w:val="en-US" w:eastAsia="zh-CN"/>
        </w:rPr>
        <w:t>服务内容和要求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36" w:lineRule="auto"/>
        <w:ind w:leftChars="0" w:right="0" w:rightChars="0" w:firstLine="612" w:firstLineChars="200"/>
        <w:jc w:val="both"/>
        <w:textAlignment w:val="auto"/>
        <w:rPr>
          <w:rFonts w:hint="default"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1.确定一家中选供应商，为采购单位提供保险服务。被保险人：上海中航航空食品有限公司提供的名单为准。保险责任：包括疾病身故、意外伤害、疾病住院及重大疾病等。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36" w:lineRule="auto"/>
        <w:ind w:right="0" w:rightChars="0" w:firstLine="612" w:firstLineChars="200"/>
        <w:jc w:val="both"/>
        <w:textAlignment w:val="auto"/>
        <w:rPr>
          <w:rFonts w:hint="default"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经理级以上员工：</w:t>
      </w:r>
    </w:p>
    <w:tbl>
      <w:tblPr>
        <w:tblStyle w:val="6"/>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131"/>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投保险种</w:t>
            </w:r>
          </w:p>
        </w:tc>
        <w:tc>
          <w:tcPr>
            <w:tcW w:w="313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保险金额</w:t>
            </w:r>
          </w:p>
        </w:tc>
        <w:tc>
          <w:tcPr>
            <w:tcW w:w="2775"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疾病身故</w:t>
            </w:r>
          </w:p>
        </w:tc>
        <w:tc>
          <w:tcPr>
            <w:tcW w:w="313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20万</w:t>
            </w:r>
          </w:p>
        </w:tc>
        <w:tc>
          <w:tcPr>
            <w:tcW w:w="2775"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意外伤害</w:t>
            </w:r>
          </w:p>
        </w:tc>
        <w:tc>
          <w:tcPr>
            <w:tcW w:w="313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50万</w:t>
            </w:r>
          </w:p>
        </w:tc>
        <w:tc>
          <w:tcPr>
            <w:tcW w:w="2775"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门、急诊</w:t>
            </w:r>
          </w:p>
        </w:tc>
        <w:tc>
          <w:tcPr>
            <w:tcW w:w="313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2万</w:t>
            </w:r>
          </w:p>
        </w:tc>
        <w:tc>
          <w:tcPr>
            <w:tcW w:w="2775" w:type="dxa"/>
            <w:vMerge w:val="restart"/>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eastAsia"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无免赔，100%</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（含1000自费药）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疾病住院</w:t>
            </w:r>
          </w:p>
        </w:tc>
        <w:tc>
          <w:tcPr>
            <w:tcW w:w="313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2万</w:t>
            </w:r>
          </w:p>
        </w:tc>
        <w:tc>
          <w:tcPr>
            <w:tcW w:w="2775" w:type="dxa"/>
            <w:vMerge w:val="continue"/>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住院津贴</w:t>
            </w:r>
          </w:p>
        </w:tc>
        <w:tc>
          <w:tcPr>
            <w:tcW w:w="313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100元/天，限180天</w:t>
            </w:r>
          </w:p>
        </w:tc>
        <w:tc>
          <w:tcPr>
            <w:tcW w:w="2775"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按住院天数给付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住院手术津贴</w:t>
            </w:r>
          </w:p>
        </w:tc>
        <w:tc>
          <w:tcPr>
            <w:tcW w:w="313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0.5万</w:t>
            </w:r>
          </w:p>
        </w:tc>
        <w:tc>
          <w:tcPr>
            <w:tcW w:w="2775"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重大疾病</w:t>
            </w:r>
          </w:p>
        </w:tc>
        <w:tc>
          <w:tcPr>
            <w:tcW w:w="313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20万</w:t>
            </w:r>
          </w:p>
        </w:tc>
        <w:tc>
          <w:tcPr>
            <w:tcW w:w="2775"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100%</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36" w:lineRule="auto"/>
        <w:ind w:right="0" w:rightChars="0" w:firstLine="612"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主管级员工：</w:t>
      </w:r>
    </w:p>
    <w:tbl>
      <w:tblPr>
        <w:tblStyle w:val="6"/>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05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投保险种</w:t>
            </w:r>
          </w:p>
        </w:tc>
        <w:tc>
          <w:tcPr>
            <w:tcW w:w="30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保险金额</w:t>
            </w:r>
          </w:p>
        </w:tc>
        <w:tc>
          <w:tcPr>
            <w:tcW w:w="28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疾病身故</w:t>
            </w:r>
          </w:p>
        </w:tc>
        <w:tc>
          <w:tcPr>
            <w:tcW w:w="30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15万</w:t>
            </w:r>
          </w:p>
        </w:tc>
        <w:tc>
          <w:tcPr>
            <w:tcW w:w="28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意外伤害</w:t>
            </w:r>
          </w:p>
        </w:tc>
        <w:tc>
          <w:tcPr>
            <w:tcW w:w="30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30万</w:t>
            </w:r>
          </w:p>
        </w:tc>
        <w:tc>
          <w:tcPr>
            <w:tcW w:w="28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门、急诊</w:t>
            </w:r>
          </w:p>
        </w:tc>
        <w:tc>
          <w:tcPr>
            <w:tcW w:w="30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2万</w:t>
            </w:r>
          </w:p>
        </w:tc>
        <w:tc>
          <w:tcPr>
            <w:tcW w:w="2853" w:type="dxa"/>
            <w:vMerge w:val="restart"/>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无免赔，100%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疾病住院</w:t>
            </w:r>
          </w:p>
        </w:tc>
        <w:tc>
          <w:tcPr>
            <w:tcW w:w="30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2万</w:t>
            </w:r>
          </w:p>
        </w:tc>
        <w:tc>
          <w:tcPr>
            <w:tcW w:w="2853" w:type="dxa"/>
            <w:vMerge w:val="continue"/>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住院津贴</w:t>
            </w:r>
          </w:p>
        </w:tc>
        <w:tc>
          <w:tcPr>
            <w:tcW w:w="30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100元/天，限180天</w:t>
            </w:r>
          </w:p>
        </w:tc>
        <w:tc>
          <w:tcPr>
            <w:tcW w:w="28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按住院天数给付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住院手术津贴</w:t>
            </w:r>
          </w:p>
        </w:tc>
        <w:tc>
          <w:tcPr>
            <w:tcW w:w="30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0.5万</w:t>
            </w:r>
          </w:p>
        </w:tc>
        <w:tc>
          <w:tcPr>
            <w:tcW w:w="28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重大疾病</w:t>
            </w:r>
          </w:p>
        </w:tc>
        <w:tc>
          <w:tcPr>
            <w:tcW w:w="30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10万</w:t>
            </w:r>
          </w:p>
        </w:tc>
        <w:tc>
          <w:tcPr>
            <w:tcW w:w="2853"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100%</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36" w:lineRule="auto"/>
        <w:ind w:right="0" w:rightChars="0" w:firstLine="612"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普通员工：</w:t>
      </w:r>
    </w:p>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投保险种</w:t>
            </w:r>
          </w:p>
        </w:tc>
        <w:tc>
          <w:tcPr>
            <w:tcW w:w="284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保险金额</w:t>
            </w:r>
          </w:p>
        </w:tc>
        <w:tc>
          <w:tcPr>
            <w:tcW w:w="308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疾病身故</w:t>
            </w:r>
          </w:p>
        </w:tc>
        <w:tc>
          <w:tcPr>
            <w:tcW w:w="284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5万</w:t>
            </w:r>
          </w:p>
        </w:tc>
        <w:tc>
          <w:tcPr>
            <w:tcW w:w="308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意外伤害</w:t>
            </w:r>
          </w:p>
        </w:tc>
        <w:tc>
          <w:tcPr>
            <w:tcW w:w="284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20万</w:t>
            </w:r>
          </w:p>
        </w:tc>
        <w:tc>
          <w:tcPr>
            <w:tcW w:w="308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疾病住院</w:t>
            </w:r>
          </w:p>
        </w:tc>
        <w:tc>
          <w:tcPr>
            <w:tcW w:w="284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2万</w:t>
            </w:r>
          </w:p>
        </w:tc>
        <w:tc>
          <w:tcPr>
            <w:tcW w:w="308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无免赔，100%</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36" w:lineRule="auto"/>
        <w:ind w:right="0" w:rightChars="0" w:firstLine="612"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员工子女：</w:t>
      </w:r>
    </w:p>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投保险种</w:t>
            </w:r>
          </w:p>
        </w:tc>
        <w:tc>
          <w:tcPr>
            <w:tcW w:w="284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保险金额</w:t>
            </w:r>
          </w:p>
        </w:tc>
        <w:tc>
          <w:tcPr>
            <w:tcW w:w="308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意外伤害</w:t>
            </w:r>
          </w:p>
        </w:tc>
        <w:tc>
          <w:tcPr>
            <w:tcW w:w="284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5万</w:t>
            </w:r>
          </w:p>
        </w:tc>
        <w:tc>
          <w:tcPr>
            <w:tcW w:w="308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门、急诊</w:t>
            </w:r>
          </w:p>
        </w:tc>
        <w:tc>
          <w:tcPr>
            <w:tcW w:w="284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2万</w:t>
            </w:r>
          </w:p>
        </w:tc>
        <w:tc>
          <w:tcPr>
            <w:tcW w:w="308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无免赔、50%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疾病住院</w:t>
            </w:r>
          </w:p>
        </w:tc>
        <w:tc>
          <w:tcPr>
            <w:tcW w:w="2841"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right="236" w:right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2万</w:t>
            </w:r>
          </w:p>
        </w:tc>
        <w:tc>
          <w:tcPr>
            <w:tcW w:w="3080" w:type="dxa"/>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 w:line="336" w:lineRule="auto"/>
              <w:ind w:left="0" w:leftChars="0" w:right="236" w:rightChars="0" w:firstLine="0" w:firstLineChars="0"/>
              <w:jc w:val="center"/>
              <w:textAlignment w:val="auto"/>
              <w:rPr>
                <w:rFonts w:hint="default" w:ascii="仿宋_GB2312" w:hAnsi="仿宋_GB2312" w:eastAsia="仿宋_GB2312" w:cs="仿宋_GB2312"/>
                <w:spacing w:val="-7"/>
                <w:sz w:val="32"/>
                <w:szCs w:val="32"/>
                <w:vertAlign w:val="baseline"/>
                <w:lang w:val="en-US" w:eastAsia="zh-CN"/>
              </w:rPr>
            </w:pPr>
            <w:r>
              <w:rPr>
                <w:rFonts w:hint="eastAsia" w:ascii="仿宋_GB2312" w:hAnsi="仿宋_GB2312" w:eastAsia="仿宋_GB2312" w:cs="仿宋_GB2312"/>
                <w:spacing w:val="-7"/>
                <w:sz w:val="32"/>
                <w:szCs w:val="32"/>
                <w:vertAlign w:val="baseline"/>
                <w:lang w:val="en-US" w:eastAsia="zh-CN"/>
              </w:rPr>
              <w:t>无免赔、50%</w:t>
            </w:r>
          </w:p>
        </w:tc>
      </w:tr>
    </w:tbl>
    <w:p>
      <w:pPr>
        <w:pStyle w:val="2"/>
        <w:keepNext w:val="0"/>
        <w:keepLines w:val="0"/>
        <w:pageBreakBefore w:val="0"/>
        <w:widowControl w:val="0"/>
        <w:kinsoku/>
        <w:wordWrap/>
        <w:overflowPunct/>
        <w:topLinePunct w:val="0"/>
        <w:autoSpaceDE w:val="0"/>
        <w:autoSpaceDN w:val="0"/>
        <w:bidi w:val="0"/>
        <w:adjustRightInd/>
        <w:snapToGrid/>
        <w:spacing w:before="0" w:line="336" w:lineRule="auto"/>
        <w:ind w:left="0" w:leftChars="0" w:right="0" w:firstLine="612"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7"/>
          <w:sz w:val="32"/>
          <w:szCs w:val="32"/>
          <w:lang w:val="en-US" w:eastAsia="zh-CN"/>
        </w:rPr>
        <w:t>2.中选</w:t>
      </w:r>
      <w:r>
        <w:rPr>
          <w:rFonts w:hint="eastAsia" w:ascii="仿宋_GB2312" w:hAnsi="仿宋_GB2312" w:eastAsia="仿宋_GB2312" w:cs="仿宋_GB2312"/>
          <w:spacing w:val="-2"/>
          <w:sz w:val="32"/>
          <w:szCs w:val="32"/>
          <w:lang w:val="en-US" w:eastAsia="zh-CN"/>
        </w:rPr>
        <w:t>供应商必须按合同约定时间、经采购单位核定的标准、及时、足额办理完人员保险、理赔等相关业务手续。</w:t>
      </w:r>
    </w:p>
    <w:p>
      <w:pPr>
        <w:keepNext w:val="0"/>
        <w:keepLines w:val="0"/>
        <w:pageBreakBefore w:val="0"/>
        <w:widowControl w:val="0"/>
        <w:kinsoku/>
        <w:wordWrap/>
        <w:overflowPunct/>
        <w:topLinePunct w:val="0"/>
        <w:bidi w:val="0"/>
        <w:adjustRightInd/>
        <w:snapToGrid/>
        <w:spacing w:line="336" w:lineRule="auto"/>
        <w:ind w:right="0" w:firstLine="612" w:firstLineChars="200"/>
        <w:textAlignment w:val="auto"/>
        <w:rPr>
          <w:rFonts w:hint="eastAsia" w:ascii="仿宋_GB2312" w:hAnsi="仿宋_GB2312" w:eastAsia="仿宋_GB2312" w:cs="仿宋_GB2312"/>
          <w:spacing w:val="-7"/>
          <w:kern w:val="2"/>
          <w:sz w:val="32"/>
          <w:szCs w:val="32"/>
          <w:lang w:val="en-US" w:eastAsia="zh-CN" w:bidi="ar-SA"/>
        </w:rPr>
      </w:pPr>
      <w:r>
        <w:rPr>
          <w:rFonts w:hint="eastAsia" w:ascii="仿宋_GB2312" w:hAnsi="仿宋_GB2312" w:eastAsia="仿宋_GB2312" w:cs="仿宋_GB2312"/>
          <w:spacing w:val="-7"/>
          <w:kern w:val="2"/>
          <w:sz w:val="32"/>
          <w:szCs w:val="32"/>
          <w:lang w:val="en-US" w:eastAsia="zh-CN" w:bidi="ar-SA"/>
        </w:rPr>
        <w:t>3.保险人应设有24小时全天报案服务电话，并设专人受理索赔，接、报案且安排一周一次的驻场服务，包含收取理赔件、员工保险问题解答。理赔结案后按批次反馈理赔结果，出具理赔汇总单，并出具每名员工的理赔分割单，且退还不完全给付的医药费收据及复印件，并出具不给付通知书。</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4.为了保障服务质量，保险人还需为本项目配备成熟完善的自助理赔服务系统，如手机APP、微信公众号、PC客户端等，功能需涵盖索赔资料上传、赔付进度查询、赔付情况统计、疑难解答等，且自助理赔免资料原件的限额不得低于人民币1000元。</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5、保险生效时间以2025年9月29日为准。保险人须在保险费到账的3个工作日出具全项目保单，不得拖延。</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6、中选保险人收到中选通知后，须承担自2025年9月29日零时起的所有保险责任。</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7、保险人在收到理赔申请文件后应立即审查核实，若对事故保险责任存在疑问或认为理赔申请文件存在问题（不完整、存在瑕疵），应当在收到理赔申请文件后3个工作日内一次性通知被保险人，若在接到理赔申请文件后3个工作日内未提出有关审核意见，则视为保险人对理赔申请文件的完全认可。</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8、对属于保险责任的，中选保险人必须在与被保险人或者受益人达成有关赔偿或者给付保险金额的协议后5个工作日内，履行赔偿或者给付保险金义务。</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9、中选保险人自收到赔偿或者给付保险金的请求和有关证明、资料之日起三十日内，对其赔偿或者给付保险金的数额不能确定的，应当根据已有证明和资料可以确定的最低数额先予支付；保险人最终确定赔偿或者给付保险金的数额后，应当支付相应的差额。</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10、拒赔案件处理要求：拒赔案件主要指全部拒赔、部分拒赔及暂缓赔付案件。分别要求如下：</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A、全部拒赔案件：保险人经审核，判定全部拒赔的案件，应出具正式的不给付通知书，列明拒赔金额及原因，并将所有原始理赔资料退回；</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B、部分拒赔案件：保险人经审核，判定部分拒赔的案件，应在个人理赔分割单中列明拒赔金额及原因，如涉及同一张收据中存在部分拒赔金额的情况，请注明收据号，列出拒赔项目，并将所有原始理赔资料退回；</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C、暂缓赔付案件：保险人经审核，判定暂缓赔付的案件，应出具正式补充理赔资料的通知书，并说明原因，所有原始理赔资料暂时由保险人妥善保存。</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11、保险人应在每半年结束后的20个工作日内向投保人提供截至保期内的理赔数据统计报表。内容包括但不限于：事故者姓名、事故者身份证号、申报金额、扣减金额、合理金额、赔付金额、扣减原因、审核结论、理赔额、免赔额、已扣除免赔额、本次扣除免赔额、给付比例、账户姓名、账户所有人证件号码、开户银行、银行账号、理算金额合计，复核人、完成理赔日期，赔付、病情汇总等。</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12、被保险人可通过线上咨询（自助理赔服务系统咨询、客服专线电话或短信咨询）、线下咨询（当面咨询）等方式向投标人咨询保险有关问题。对于投保人、被保险人咨询的有关本保险的各类问题，能够明确答复的立刻答复，需查询答复的应在48小时范围内给予明确答复。</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13、保险人不得将本项目所载义务、责任分出给其他保险公司承担。</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14、保险人必须遵循投保人有关事故消息公布及各项保密守则和制度。</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15、保险人应提供保险知识、出险索赔程序，医疗健康等方面的咨询服务，并每年举行2次及以上定期的健康主题活动。</w:t>
      </w:r>
    </w:p>
    <w:p>
      <w:pPr>
        <w:keepNext w:val="0"/>
        <w:keepLines w:val="0"/>
        <w:pageBreakBefore w:val="0"/>
        <w:widowControl w:val="0"/>
        <w:kinsoku/>
        <w:wordWrap/>
        <w:overflowPunct/>
        <w:topLinePunct w:val="0"/>
        <w:bidi w:val="0"/>
        <w:adjustRightInd/>
        <w:snapToGrid/>
        <w:spacing w:line="336" w:lineRule="auto"/>
        <w:ind w:right="0" w:firstLine="632"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16、保险人为财产险公司参与本次中选无效。</w:t>
      </w:r>
    </w:p>
    <w:p>
      <w:pPr>
        <w:spacing w:line="336" w:lineRule="auto"/>
        <w:ind w:firstLine="640" w:firstLineChars="200"/>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四、供应商资质</w:t>
      </w:r>
    </w:p>
    <w:p>
      <w:pPr>
        <w:keepNext w:val="0"/>
        <w:keepLines w:val="0"/>
        <w:pageBreakBefore w:val="0"/>
        <w:widowControl w:val="0"/>
        <w:kinsoku/>
        <w:wordWrap/>
        <w:overflowPunct/>
        <w:topLinePunct w:val="0"/>
        <w:bidi w:val="0"/>
        <w:adjustRightInd/>
        <w:snapToGrid/>
        <w:spacing w:line="336" w:lineRule="auto"/>
        <w:ind w:firstLine="632" w:firstLineChars="200"/>
        <w:textAlignment w:val="auto"/>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仿宋_GB2312" w:eastAsia="仿宋_GB2312" w:cs="仿宋_GB2312"/>
          <w:spacing w:val="-2"/>
          <w:sz w:val="32"/>
          <w:szCs w:val="32"/>
        </w:rPr>
        <w:t>供应商</w:t>
      </w:r>
      <w:r>
        <w:rPr>
          <w:rFonts w:hint="eastAsia" w:ascii="仿宋_GB2312" w:hAnsi="仿宋_GB2312" w:eastAsia="仿宋_GB2312" w:cs="仿宋_GB2312"/>
          <w:spacing w:val="-2"/>
          <w:sz w:val="32"/>
          <w:szCs w:val="32"/>
          <w:lang w:val="en-US" w:eastAsia="zh-CN"/>
        </w:rPr>
        <w:t>根据质量和服务均能满足采购文件实质性响应要求，拥有中国银行保险监督管理委员会颁发的《经营保险业务许可证》。</w:t>
      </w:r>
    </w:p>
    <w:p>
      <w:pPr>
        <w:spacing w:line="336" w:lineRule="auto"/>
        <w:ind w:firstLine="640" w:firstLineChars="200"/>
        <w:jc w:val="right"/>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人力资源部</w:t>
      </w:r>
    </w:p>
    <w:p>
      <w:pPr>
        <w:spacing w:line="336" w:lineRule="auto"/>
        <w:ind w:firstLine="640" w:firstLineChars="200"/>
        <w:jc w:val="right"/>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2025年</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14:textFill>
            <w14:solidFill>
              <w14:schemeClr w14:val="tx1"/>
            </w14:solidFill>
          </w14:textFill>
        </w:rPr>
        <w:t>月</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14</w:t>
      </w:r>
      <w:r>
        <w:rPr>
          <w:rFonts w:hint="eastAsia" w:ascii="仿宋_GB2312" w:hAnsi="微软雅黑" w:eastAsia="仿宋_GB2312" w:cs="微软雅黑"/>
          <w:color w:val="000000" w:themeColor="text1"/>
          <w:kern w:val="0"/>
          <w:sz w:val="32"/>
          <w:szCs w:val="32"/>
          <w14:textFill>
            <w14:solidFill>
              <w14:schemeClr w14:val="tx1"/>
            </w14:solidFill>
          </w14:textFill>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416598"/>
    </w:sdtPr>
    <w:sdtEndPr>
      <w:rPr>
        <w:rFonts w:ascii="宋体" w:hAnsi="宋体" w:eastAsia="宋体"/>
        <w:sz w:val="28"/>
        <w:szCs w:val="28"/>
      </w:rPr>
    </w:sdtEndPr>
    <w:sdtContent>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984556"/>
    </w:sdtPr>
    <w:sdtEndPr>
      <w:rPr>
        <w:rFonts w:ascii="宋体" w:hAnsi="宋体" w:eastAsia="宋体"/>
        <w:sz w:val="28"/>
        <w:szCs w:val="28"/>
      </w:rPr>
    </w:sdtEndPr>
    <w:sdtContent>
      <w:p>
        <w:pPr>
          <w:pStyle w:val="3"/>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MzIzZjRmZWU2ZmE5MzFiNGI5ZDM5OTRjODNkNWUifQ=="/>
  </w:docVars>
  <w:rsids>
    <w:rsidRoot w:val="007A72FA"/>
    <w:rsid w:val="000201D4"/>
    <w:rsid w:val="000550E3"/>
    <w:rsid w:val="00061DD7"/>
    <w:rsid w:val="00073587"/>
    <w:rsid w:val="000849F7"/>
    <w:rsid w:val="00084E14"/>
    <w:rsid w:val="000C024C"/>
    <w:rsid w:val="000C170A"/>
    <w:rsid w:val="000E2B02"/>
    <w:rsid w:val="0012196A"/>
    <w:rsid w:val="0013221E"/>
    <w:rsid w:val="001348E1"/>
    <w:rsid w:val="00171287"/>
    <w:rsid w:val="00180EAA"/>
    <w:rsid w:val="001A0B8B"/>
    <w:rsid w:val="001C5795"/>
    <w:rsid w:val="001D0FAB"/>
    <w:rsid w:val="00201FAD"/>
    <w:rsid w:val="00214170"/>
    <w:rsid w:val="00223D20"/>
    <w:rsid w:val="00226EAE"/>
    <w:rsid w:val="002327A9"/>
    <w:rsid w:val="002B2046"/>
    <w:rsid w:val="002E107B"/>
    <w:rsid w:val="002F684F"/>
    <w:rsid w:val="00325204"/>
    <w:rsid w:val="00334C61"/>
    <w:rsid w:val="00362239"/>
    <w:rsid w:val="00371A25"/>
    <w:rsid w:val="003D05AB"/>
    <w:rsid w:val="003D1E41"/>
    <w:rsid w:val="003E1676"/>
    <w:rsid w:val="003F31BE"/>
    <w:rsid w:val="00400996"/>
    <w:rsid w:val="00406426"/>
    <w:rsid w:val="00406574"/>
    <w:rsid w:val="00407C9D"/>
    <w:rsid w:val="00407CA1"/>
    <w:rsid w:val="00424708"/>
    <w:rsid w:val="004255CD"/>
    <w:rsid w:val="00436531"/>
    <w:rsid w:val="004614B0"/>
    <w:rsid w:val="004A5B5D"/>
    <w:rsid w:val="004C60BF"/>
    <w:rsid w:val="004C6A98"/>
    <w:rsid w:val="004F3DE6"/>
    <w:rsid w:val="004F4E64"/>
    <w:rsid w:val="00514B39"/>
    <w:rsid w:val="00551F28"/>
    <w:rsid w:val="0056617B"/>
    <w:rsid w:val="005709EB"/>
    <w:rsid w:val="00594C13"/>
    <w:rsid w:val="005A1F26"/>
    <w:rsid w:val="005A6ACF"/>
    <w:rsid w:val="005B08D1"/>
    <w:rsid w:val="005C3C14"/>
    <w:rsid w:val="006030BF"/>
    <w:rsid w:val="0062742F"/>
    <w:rsid w:val="00670DC3"/>
    <w:rsid w:val="006729EF"/>
    <w:rsid w:val="006913D3"/>
    <w:rsid w:val="00692F96"/>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466F5"/>
    <w:rsid w:val="0085224A"/>
    <w:rsid w:val="008A28DF"/>
    <w:rsid w:val="008A7E4C"/>
    <w:rsid w:val="008C17EF"/>
    <w:rsid w:val="008D37C2"/>
    <w:rsid w:val="008F001A"/>
    <w:rsid w:val="0090411D"/>
    <w:rsid w:val="00971051"/>
    <w:rsid w:val="00981A68"/>
    <w:rsid w:val="00983571"/>
    <w:rsid w:val="009A49D2"/>
    <w:rsid w:val="009A6AC9"/>
    <w:rsid w:val="009B0260"/>
    <w:rsid w:val="009B1E8C"/>
    <w:rsid w:val="009B317D"/>
    <w:rsid w:val="009C7E49"/>
    <w:rsid w:val="00A33B74"/>
    <w:rsid w:val="00A442D9"/>
    <w:rsid w:val="00A46DE2"/>
    <w:rsid w:val="00A47B16"/>
    <w:rsid w:val="00A716BB"/>
    <w:rsid w:val="00A758C3"/>
    <w:rsid w:val="00A80E6C"/>
    <w:rsid w:val="00A906A7"/>
    <w:rsid w:val="00A941E5"/>
    <w:rsid w:val="00A96368"/>
    <w:rsid w:val="00AB3BE8"/>
    <w:rsid w:val="00AE2567"/>
    <w:rsid w:val="00AF7503"/>
    <w:rsid w:val="00B40467"/>
    <w:rsid w:val="00B53727"/>
    <w:rsid w:val="00B60E5A"/>
    <w:rsid w:val="00B72329"/>
    <w:rsid w:val="00B747B2"/>
    <w:rsid w:val="00B863E1"/>
    <w:rsid w:val="00BA1999"/>
    <w:rsid w:val="00BB34D6"/>
    <w:rsid w:val="00BF7988"/>
    <w:rsid w:val="00C104ED"/>
    <w:rsid w:val="00C21429"/>
    <w:rsid w:val="00C6029A"/>
    <w:rsid w:val="00CA3B76"/>
    <w:rsid w:val="00CC1EA5"/>
    <w:rsid w:val="00CC4E45"/>
    <w:rsid w:val="00CD6B6B"/>
    <w:rsid w:val="00CE6F2E"/>
    <w:rsid w:val="00CF1B26"/>
    <w:rsid w:val="00D07988"/>
    <w:rsid w:val="00D2321C"/>
    <w:rsid w:val="00D3022D"/>
    <w:rsid w:val="00D477D1"/>
    <w:rsid w:val="00D75620"/>
    <w:rsid w:val="00DE258D"/>
    <w:rsid w:val="00E0025A"/>
    <w:rsid w:val="00E17ADC"/>
    <w:rsid w:val="00E2707A"/>
    <w:rsid w:val="00E5322E"/>
    <w:rsid w:val="00E93EB0"/>
    <w:rsid w:val="00E96F5B"/>
    <w:rsid w:val="00EC4A37"/>
    <w:rsid w:val="00EC621F"/>
    <w:rsid w:val="00ED5206"/>
    <w:rsid w:val="00F558C8"/>
    <w:rsid w:val="00F55DCB"/>
    <w:rsid w:val="00F61A1A"/>
    <w:rsid w:val="00F9084B"/>
    <w:rsid w:val="038D13F5"/>
    <w:rsid w:val="0F415EE5"/>
    <w:rsid w:val="12657DEB"/>
    <w:rsid w:val="14E55253"/>
    <w:rsid w:val="168B59E5"/>
    <w:rsid w:val="1EA97D59"/>
    <w:rsid w:val="21685264"/>
    <w:rsid w:val="25652BD1"/>
    <w:rsid w:val="282A5F03"/>
    <w:rsid w:val="28913F3A"/>
    <w:rsid w:val="3117373D"/>
    <w:rsid w:val="35225AE1"/>
    <w:rsid w:val="37B0491D"/>
    <w:rsid w:val="393A51E8"/>
    <w:rsid w:val="4FDE438F"/>
    <w:rsid w:val="55A33EB3"/>
    <w:rsid w:val="59785F0E"/>
    <w:rsid w:val="5DFD1613"/>
    <w:rsid w:val="606D30AD"/>
    <w:rsid w:val="63326DAF"/>
    <w:rsid w:val="6D490477"/>
    <w:rsid w:val="7C624934"/>
    <w:rsid w:val="7C7168FE"/>
    <w:rsid w:val="7CF74340"/>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82"/>
      <w:ind w:left="120"/>
    </w:pPr>
    <w:rPr>
      <w:rFonts w:ascii="微软雅黑" w:hAnsi="微软雅黑" w:eastAsia="微软雅黑" w:cs="微软雅黑"/>
      <w:sz w:val="24"/>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等线" w:hAnsi="等线" w:eastAsia="等线" w:cs="Times New Roman"/>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font0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348</Words>
  <Characters>356</Characters>
  <Lines>20</Lines>
  <Paragraphs>20</Paragraphs>
  <TotalTime>15</TotalTime>
  <ScaleCrop>false</ScaleCrop>
  <LinksUpToDate>false</LinksUpToDate>
  <CharactersWithSpaces>684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2023-11-16T02:17:00Z</dcterms:created>
  <dc:creator>Wang, Frankie</dc:creator>
  <cp:lastModifiedBy>陈天舒</cp:lastModifiedBy>
  <cp:lastPrinted>2019-09-09T06:21:00Z</cp:lastPrinted>
  <dcterms:modified xsi:type="dcterms:W3CDTF">2025-04-18T05:11:36Z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